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630"/>
        <w:tblW w:w="0" w:type="auto"/>
        <w:tblLook w:val="04A0" w:firstRow="1" w:lastRow="0" w:firstColumn="1" w:lastColumn="0" w:noHBand="0" w:noVBand="1"/>
      </w:tblPr>
      <w:tblGrid>
        <w:gridCol w:w="1112"/>
        <w:gridCol w:w="283"/>
        <w:gridCol w:w="5505"/>
        <w:gridCol w:w="2323"/>
      </w:tblGrid>
      <w:tr w:rsidR="00A04602" w:rsidRPr="0036658C" w:rsidTr="0045429C">
        <w:tc>
          <w:tcPr>
            <w:tcW w:w="9223" w:type="dxa"/>
            <w:gridSpan w:val="4"/>
            <w:shd w:val="clear" w:color="auto" w:fill="auto"/>
          </w:tcPr>
          <w:p w:rsidR="00A04602" w:rsidRPr="0036658C" w:rsidRDefault="00587D2B" w:rsidP="0045429C">
            <w:pPr>
              <w:spacing w:line="264" w:lineRule="auto"/>
              <w:rPr>
                <w:b/>
              </w:rPr>
            </w:pPr>
            <w:r>
              <w:rPr>
                <w:b/>
              </w:rPr>
              <w:t xml:space="preserve"> </w:t>
            </w:r>
          </w:p>
        </w:tc>
      </w:tr>
      <w:tr w:rsidR="00A04602" w:rsidRPr="0036658C" w:rsidTr="0045429C">
        <w:tc>
          <w:tcPr>
            <w:tcW w:w="6900" w:type="dxa"/>
            <w:gridSpan w:val="3"/>
            <w:shd w:val="clear" w:color="auto" w:fill="auto"/>
          </w:tcPr>
          <w:p w:rsidR="00A04602" w:rsidRPr="0036658C" w:rsidRDefault="00EB5FBD" w:rsidP="0045429C">
            <w:pPr>
              <w:spacing w:line="264" w:lineRule="auto"/>
              <w:rPr>
                <w:b/>
              </w:rPr>
            </w:pPr>
            <w:bookmarkStart w:id="0" w:name="titel"/>
            <w:bookmarkEnd w:id="0"/>
            <w:r>
              <w:rPr>
                <w:b/>
              </w:rPr>
              <w:t xml:space="preserve">Uitkomsten tweede VNG-ledenpeiling </w:t>
            </w:r>
            <w:proofErr w:type="spellStart"/>
            <w:r>
              <w:rPr>
                <w:b/>
              </w:rPr>
              <w:t>zelftest</w:t>
            </w:r>
            <w:proofErr w:type="spellEnd"/>
            <w:r>
              <w:rPr>
                <w:b/>
              </w:rPr>
              <w:t xml:space="preserve"> </w:t>
            </w:r>
            <w:proofErr w:type="spellStart"/>
            <w:r>
              <w:rPr>
                <w:b/>
              </w:rPr>
              <w:t>Suwinet</w:t>
            </w:r>
            <w:proofErr w:type="spellEnd"/>
          </w:p>
        </w:tc>
        <w:tc>
          <w:tcPr>
            <w:tcW w:w="2323" w:type="dxa"/>
            <w:tcBorders>
              <w:left w:val="nil"/>
            </w:tcBorders>
            <w:shd w:val="clear" w:color="auto" w:fill="auto"/>
          </w:tcPr>
          <w:p w:rsidR="00A04602" w:rsidRPr="0036658C" w:rsidRDefault="00A04602" w:rsidP="0045429C">
            <w:pPr>
              <w:spacing w:line="264" w:lineRule="auto"/>
              <w:rPr>
                <w:b/>
              </w:rPr>
            </w:pPr>
          </w:p>
        </w:tc>
      </w:tr>
      <w:tr w:rsidR="00A04602" w:rsidRPr="0036658C" w:rsidTr="0045429C">
        <w:tc>
          <w:tcPr>
            <w:tcW w:w="1112" w:type="dxa"/>
            <w:shd w:val="clear" w:color="auto" w:fill="auto"/>
          </w:tcPr>
          <w:p w:rsidR="00A04602" w:rsidRPr="0036658C" w:rsidRDefault="00A04602" w:rsidP="0045429C">
            <w:pPr>
              <w:spacing w:line="264" w:lineRule="auto"/>
              <w:rPr>
                <w:b/>
              </w:rPr>
            </w:pPr>
          </w:p>
        </w:tc>
        <w:tc>
          <w:tcPr>
            <w:tcW w:w="283" w:type="dxa"/>
            <w:shd w:val="clear" w:color="auto" w:fill="auto"/>
          </w:tcPr>
          <w:p w:rsidR="00A04602" w:rsidRPr="0036658C" w:rsidRDefault="00A04602" w:rsidP="0045429C">
            <w:pPr>
              <w:spacing w:line="264" w:lineRule="auto"/>
              <w:rPr>
                <w:b/>
              </w:rPr>
            </w:pPr>
          </w:p>
        </w:tc>
        <w:tc>
          <w:tcPr>
            <w:tcW w:w="5505" w:type="dxa"/>
            <w:shd w:val="clear" w:color="auto" w:fill="auto"/>
          </w:tcPr>
          <w:p w:rsidR="00A04602" w:rsidRPr="0036658C" w:rsidRDefault="00A04602" w:rsidP="0045429C">
            <w:pPr>
              <w:spacing w:line="264" w:lineRule="auto"/>
              <w:rPr>
                <w:b/>
              </w:rPr>
            </w:pPr>
          </w:p>
        </w:tc>
        <w:tc>
          <w:tcPr>
            <w:tcW w:w="2323" w:type="dxa"/>
            <w:tcBorders>
              <w:left w:val="nil"/>
            </w:tcBorders>
            <w:shd w:val="clear" w:color="auto" w:fill="auto"/>
          </w:tcPr>
          <w:p w:rsidR="00A04602" w:rsidRPr="0036658C" w:rsidRDefault="00A04602" w:rsidP="0045429C">
            <w:pPr>
              <w:spacing w:line="264" w:lineRule="auto"/>
              <w:rPr>
                <w:b/>
              </w:rPr>
            </w:pPr>
          </w:p>
        </w:tc>
      </w:tr>
      <w:tr w:rsidR="00A04602" w:rsidRPr="0036658C" w:rsidTr="0045429C">
        <w:tc>
          <w:tcPr>
            <w:tcW w:w="1112" w:type="dxa"/>
            <w:shd w:val="clear" w:color="auto" w:fill="auto"/>
          </w:tcPr>
          <w:p w:rsidR="00A04602" w:rsidRPr="0036658C" w:rsidRDefault="00A04602" w:rsidP="0045429C">
            <w:pPr>
              <w:spacing w:line="264" w:lineRule="auto"/>
              <w:rPr>
                <w:b/>
              </w:rPr>
            </w:pPr>
            <w:r w:rsidRPr="00935671">
              <w:rPr>
                <w:rFonts w:ascii="Cambria" w:hAnsi="Cambria"/>
                <w:b/>
                <w:color w:val="365F91"/>
              </w:rPr>
              <w:t>Auteur</w:t>
            </w:r>
            <w:r w:rsidRPr="0036658C">
              <w:rPr>
                <w:rFonts w:ascii="Cambria" w:hAnsi="Cambria"/>
                <w:b/>
                <w:color w:val="365F91"/>
              </w:rPr>
              <w:t>(s)</w:t>
            </w:r>
          </w:p>
        </w:tc>
        <w:tc>
          <w:tcPr>
            <w:tcW w:w="283" w:type="dxa"/>
            <w:shd w:val="clear" w:color="auto" w:fill="auto"/>
          </w:tcPr>
          <w:p w:rsidR="00A04602" w:rsidRPr="0036658C" w:rsidRDefault="00A04602" w:rsidP="0045429C">
            <w:pPr>
              <w:spacing w:line="264" w:lineRule="auto"/>
              <w:rPr>
                <w:b/>
              </w:rPr>
            </w:pPr>
            <w:r w:rsidRPr="0036658C">
              <w:rPr>
                <w:b/>
              </w:rPr>
              <w:t>:</w:t>
            </w:r>
          </w:p>
        </w:tc>
        <w:tc>
          <w:tcPr>
            <w:tcW w:w="5505" w:type="dxa"/>
            <w:shd w:val="clear" w:color="auto" w:fill="auto"/>
          </w:tcPr>
          <w:p w:rsidR="00A04602" w:rsidRPr="00935671" w:rsidRDefault="00EB5FBD" w:rsidP="0045429C">
            <w:pPr>
              <w:spacing w:line="264" w:lineRule="auto"/>
            </w:pPr>
            <w:bookmarkStart w:id="1" w:name="auteur"/>
            <w:bookmarkEnd w:id="1"/>
            <w:proofErr w:type="spellStart"/>
            <w:r>
              <w:t>Jasja</w:t>
            </w:r>
            <w:proofErr w:type="spellEnd"/>
            <w:r>
              <w:t xml:space="preserve"> van Ark</w:t>
            </w:r>
          </w:p>
        </w:tc>
        <w:tc>
          <w:tcPr>
            <w:tcW w:w="2323" w:type="dxa"/>
            <w:tcBorders>
              <w:left w:val="nil"/>
            </w:tcBorders>
            <w:shd w:val="clear" w:color="auto" w:fill="auto"/>
          </w:tcPr>
          <w:p w:rsidR="00A04602" w:rsidRPr="0036658C" w:rsidRDefault="00A04602" w:rsidP="0045429C">
            <w:pPr>
              <w:spacing w:line="264" w:lineRule="auto"/>
              <w:rPr>
                <w:b/>
              </w:rPr>
            </w:pPr>
          </w:p>
        </w:tc>
      </w:tr>
      <w:tr w:rsidR="00A04602" w:rsidRPr="0036658C" w:rsidTr="0045429C">
        <w:tc>
          <w:tcPr>
            <w:tcW w:w="1112" w:type="dxa"/>
            <w:shd w:val="clear" w:color="auto" w:fill="auto"/>
          </w:tcPr>
          <w:p w:rsidR="00A04602" w:rsidRPr="0036658C" w:rsidRDefault="00A04602" w:rsidP="0045429C">
            <w:pPr>
              <w:spacing w:line="264" w:lineRule="auto"/>
              <w:rPr>
                <w:b/>
              </w:rPr>
            </w:pPr>
            <w:r w:rsidRPr="0036658C">
              <w:rPr>
                <w:rFonts w:ascii="Cambria" w:hAnsi="Cambria"/>
                <w:b/>
                <w:color w:val="365F91"/>
              </w:rPr>
              <w:t>Datum</w:t>
            </w:r>
          </w:p>
        </w:tc>
        <w:tc>
          <w:tcPr>
            <w:tcW w:w="283" w:type="dxa"/>
            <w:shd w:val="clear" w:color="auto" w:fill="auto"/>
          </w:tcPr>
          <w:p w:rsidR="00A04602" w:rsidRPr="0036658C" w:rsidRDefault="00A04602" w:rsidP="0045429C">
            <w:pPr>
              <w:spacing w:line="264" w:lineRule="auto"/>
              <w:rPr>
                <w:b/>
              </w:rPr>
            </w:pPr>
            <w:r w:rsidRPr="0036658C">
              <w:rPr>
                <w:b/>
              </w:rPr>
              <w:t>:</w:t>
            </w:r>
          </w:p>
        </w:tc>
        <w:tc>
          <w:tcPr>
            <w:tcW w:w="7828" w:type="dxa"/>
            <w:gridSpan w:val="2"/>
            <w:shd w:val="clear" w:color="auto" w:fill="auto"/>
          </w:tcPr>
          <w:p w:rsidR="00A04602" w:rsidRPr="00935671" w:rsidRDefault="00EB5FBD" w:rsidP="0045429C">
            <w:pPr>
              <w:spacing w:line="264" w:lineRule="auto"/>
            </w:pPr>
            <w:bookmarkStart w:id="2" w:name="datum"/>
            <w:bookmarkEnd w:id="2"/>
            <w:r>
              <w:t>10 april 2015</w:t>
            </w:r>
          </w:p>
        </w:tc>
      </w:tr>
      <w:tr w:rsidR="00A04602" w:rsidRPr="0036658C" w:rsidTr="0045429C">
        <w:tc>
          <w:tcPr>
            <w:tcW w:w="1112" w:type="dxa"/>
            <w:tcBorders>
              <w:bottom w:val="single" w:sz="4" w:space="0" w:color="auto"/>
            </w:tcBorders>
            <w:shd w:val="clear" w:color="auto" w:fill="auto"/>
          </w:tcPr>
          <w:p w:rsidR="00A04602" w:rsidRPr="0036658C" w:rsidRDefault="00A04602" w:rsidP="0045429C">
            <w:pPr>
              <w:spacing w:line="264" w:lineRule="auto"/>
              <w:rPr>
                <w:b/>
              </w:rPr>
            </w:pPr>
            <w:r w:rsidRPr="0036658C">
              <w:rPr>
                <w:rFonts w:ascii="Cambria" w:hAnsi="Cambria"/>
                <w:b/>
                <w:color w:val="365F91"/>
              </w:rPr>
              <w:t>Versie</w:t>
            </w:r>
          </w:p>
        </w:tc>
        <w:tc>
          <w:tcPr>
            <w:tcW w:w="283" w:type="dxa"/>
            <w:tcBorders>
              <w:bottom w:val="single" w:sz="4" w:space="0" w:color="auto"/>
            </w:tcBorders>
            <w:shd w:val="clear" w:color="auto" w:fill="auto"/>
          </w:tcPr>
          <w:p w:rsidR="00A04602" w:rsidRPr="0036658C" w:rsidRDefault="00A04602" w:rsidP="0045429C">
            <w:pPr>
              <w:spacing w:line="264" w:lineRule="auto"/>
              <w:rPr>
                <w:b/>
              </w:rPr>
            </w:pPr>
            <w:r w:rsidRPr="0036658C">
              <w:rPr>
                <w:b/>
              </w:rPr>
              <w:t>:</w:t>
            </w:r>
          </w:p>
        </w:tc>
        <w:tc>
          <w:tcPr>
            <w:tcW w:w="7828" w:type="dxa"/>
            <w:gridSpan w:val="2"/>
            <w:tcBorders>
              <w:bottom w:val="single" w:sz="4" w:space="0" w:color="auto"/>
            </w:tcBorders>
            <w:shd w:val="clear" w:color="auto" w:fill="auto"/>
          </w:tcPr>
          <w:p w:rsidR="00A04602" w:rsidRPr="00935671" w:rsidRDefault="00EB5FBD" w:rsidP="0045429C">
            <w:pPr>
              <w:spacing w:line="264" w:lineRule="auto"/>
            </w:pPr>
            <w:bookmarkStart w:id="3" w:name="versie"/>
            <w:bookmarkEnd w:id="3"/>
            <w:r>
              <w:t>1</w:t>
            </w:r>
          </w:p>
        </w:tc>
      </w:tr>
    </w:tbl>
    <w:p w:rsidR="00E570EF" w:rsidRPr="00B63679" w:rsidRDefault="00483D3C" w:rsidP="00A04602">
      <w:pPr>
        <w:tabs>
          <w:tab w:val="left" w:pos="851"/>
        </w:tabs>
        <w:spacing w:line="264" w:lineRule="auto"/>
        <w:rPr>
          <w:rFonts w:ascii="Calibri" w:hAnsi="Calibri"/>
          <w:b/>
          <w:color w:val="365F91"/>
          <w:sz w:val="28"/>
          <w:szCs w:val="28"/>
        </w:rPr>
      </w:pPr>
      <w:r>
        <w:rPr>
          <w:noProof/>
        </w:rPr>
        <w:drawing>
          <wp:anchor distT="0" distB="0" distL="114300" distR="114300" simplePos="0" relativeHeight="251657728" behindDoc="0" locked="0" layoutInCell="1" allowOverlap="1">
            <wp:simplePos x="0" y="0"/>
            <wp:positionH relativeFrom="column">
              <wp:posOffset>4314825</wp:posOffset>
            </wp:positionH>
            <wp:positionV relativeFrom="paragraph">
              <wp:posOffset>139065</wp:posOffset>
            </wp:positionV>
            <wp:extent cx="1478915" cy="794385"/>
            <wp:effectExtent l="0" t="0" r="6985" b="5715"/>
            <wp:wrapNone/>
            <wp:docPr id="3"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8">
                      <a:extLst>
                        <a:ext uri="{28A0092B-C50C-407E-A947-70E740481C1C}">
                          <a14:useLocalDpi xmlns:a14="http://schemas.microsoft.com/office/drawing/2010/main" val="0"/>
                        </a:ext>
                      </a:extLst>
                    </a:blip>
                    <a:srcRect l="7178" t="10001" r="9091" b="11667"/>
                    <a:stretch>
                      <a:fillRect/>
                    </a:stretch>
                  </pic:blipFill>
                  <pic:spPr bwMode="auto">
                    <a:xfrm>
                      <a:off x="0" y="0"/>
                      <a:ext cx="1478915" cy="7943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naam"/>
      <w:bookmarkEnd w:id="4"/>
      <w:r w:rsidR="00EB5FBD">
        <w:rPr>
          <w:rFonts w:ascii="Calibri" w:hAnsi="Calibri"/>
          <w:b/>
          <w:color w:val="365F91"/>
          <w:sz w:val="28"/>
          <w:szCs w:val="28"/>
        </w:rPr>
        <w:t>NOTITIE</w:t>
      </w:r>
      <w:bookmarkStart w:id="5" w:name="_GoBack"/>
      <w:bookmarkEnd w:id="5"/>
    </w:p>
    <w:p w:rsidR="00E55C39" w:rsidRDefault="00E55C39" w:rsidP="00A04602">
      <w:pPr>
        <w:tabs>
          <w:tab w:val="left" w:pos="851"/>
        </w:tabs>
        <w:spacing w:line="264" w:lineRule="auto"/>
      </w:pPr>
    </w:p>
    <w:p w:rsidR="00E55C39" w:rsidRDefault="00E55C39" w:rsidP="00A04602">
      <w:pPr>
        <w:tabs>
          <w:tab w:val="left" w:pos="851"/>
        </w:tabs>
        <w:spacing w:line="264" w:lineRule="auto"/>
      </w:pPr>
      <w:bookmarkStart w:id="6" w:name="tekst"/>
      <w:bookmarkEnd w:id="6"/>
    </w:p>
    <w:p w:rsidR="00EB5FBD" w:rsidRPr="00EB5FBD" w:rsidRDefault="00EB5FBD" w:rsidP="00A04602">
      <w:pPr>
        <w:tabs>
          <w:tab w:val="left" w:pos="851"/>
        </w:tabs>
        <w:spacing w:line="264" w:lineRule="auto"/>
        <w:rPr>
          <w:b/>
        </w:rPr>
      </w:pPr>
      <w:r w:rsidRPr="00EB5FBD">
        <w:rPr>
          <w:b/>
        </w:rPr>
        <w:t xml:space="preserve">Achtergrond en methodiek </w:t>
      </w:r>
      <w:proofErr w:type="spellStart"/>
      <w:r w:rsidRPr="00EB5FBD">
        <w:rPr>
          <w:b/>
        </w:rPr>
        <w:t>zelftest</w:t>
      </w:r>
      <w:proofErr w:type="spellEnd"/>
      <w:r w:rsidRPr="00EB5FBD">
        <w:rPr>
          <w:b/>
        </w:rPr>
        <w:t xml:space="preserve"> en ledenpeiling</w:t>
      </w:r>
    </w:p>
    <w:p w:rsidR="002A1A11" w:rsidRDefault="00EB5FBD" w:rsidP="00A04602">
      <w:pPr>
        <w:tabs>
          <w:tab w:val="left" w:pos="851"/>
        </w:tabs>
        <w:spacing w:line="264" w:lineRule="auto"/>
      </w:pPr>
      <w:r>
        <w:t>In november 2013 (‘De burger bediend’) en april 2015 (</w:t>
      </w:r>
      <w:proofErr w:type="spellStart"/>
      <w:r>
        <w:t>Suwinet</w:t>
      </w:r>
      <w:proofErr w:type="spellEnd"/>
      <w:r>
        <w:t xml:space="preserve">, veilig omgaan met </w:t>
      </w:r>
      <w:proofErr w:type="spellStart"/>
      <w:r>
        <w:t>elkaar’s</w:t>
      </w:r>
      <w:proofErr w:type="spellEnd"/>
      <w:r>
        <w:t xml:space="preserve"> gegevens’) zijn twee rapporten verschenen van de SZW-Inspectie over het gebruik van </w:t>
      </w:r>
      <w:proofErr w:type="spellStart"/>
      <w:r>
        <w:t>Suwi</w:t>
      </w:r>
      <w:proofErr w:type="spellEnd"/>
      <w:r>
        <w:t xml:space="preserve">-net door gemeenten. Hoofdoordeel uit het rapport van november 2013 luidde dat 4% van de gemeenten voldeed aan de 7 onderzochte normen uit het </w:t>
      </w:r>
      <w:proofErr w:type="spellStart"/>
      <w:r>
        <w:t>Suwi</w:t>
      </w:r>
      <w:proofErr w:type="spellEnd"/>
      <w:r>
        <w:t xml:space="preserve">-normenkader. In 2015 is dat 17%. Hoewel dit een verbetering is, gaat deze verbetering nog niet ver genoeg. VNG stelt daarom aan haar leden een </w:t>
      </w:r>
      <w:proofErr w:type="spellStart"/>
      <w:r>
        <w:t>zelftest</w:t>
      </w:r>
      <w:proofErr w:type="spellEnd"/>
      <w:r>
        <w:t xml:space="preserve"> ter beschikking. De </w:t>
      </w:r>
      <w:proofErr w:type="spellStart"/>
      <w:r>
        <w:t>zelftest</w:t>
      </w:r>
      <w:proofErr w:type="spellEnd"/>
      <w:r>
        <w:t xml:space="preserve"> is een verfijnde versie van de vragenlijst waarmee de SZW Inspectie haar onderzoek heeft verricht. Hiermee kunnen ook gemeenten die niet in de steekproef van de SZW Inspectie zijn opgenomen</w:t>
      </w:r>
      <w:r w:rsidR="002A1A11">
        <w:t xml:space="preserve"> een analyse doen op hun gebruik van </w:t>
      </w:r>
      <w:proofErr w:type="spellStart"/>
      <w:r w:rsidR="002A1A11">
        <w:t>Suwi</w:t>
      </w:r>
      <w:proofErr w:type="spellEnd"/>
      <w:r w:rsidR="002A1A11">
        <w:t xml:space="preserve">-net. </w:t>
      </w:r>
    </w:p>
    <w:p w:rsidR="002A1A11" w:rsidRDefault="002A1A11" w:rsidP="00A04602">
      <w:pPr>
        <w:tabs>
          <w:tab w:val="left" w:pos="851"/>
        </w:tabs>
        <w:spacing w:line="264" w:lineRule="auto"/>
      </w:pPr>
    </w:p>
    <w:p w:rsidR="002A1A11" w:rsidRDefault="002A1A11" w:rsidP="00A04602">
      <w:pPr>
        <w:tabs>
          <w:tab w:val="left" w:pos="851"/>
        </w:tabs>
        <w:spacing w:line="264" w:lineRule="auto"/>
      </w:pPr>
      <w:r>
        <w:t xml:space="preserve">De VNG heeft alle gemeenten gevraagd om de </w:t>
      </w:r>
      <w:proofErr w:type="spellStart"/>
      <w:r>
        <w:t>zelftest</w:t>
      </w:r>
      <w:proofErr w:type="spellEnd"/>
      <w:r>
        <w:t xml:space="preserve"> uit te voeren en de hoofduitkomsten ervan met de VNG te delen door deel te nemen aan de daartoe uitgezette ledenpeiling. In de periode tussen 12 januari en 6 maart 2015 zijn gemeenten in de gelegenheid gesteld om deze uitkomsten te delen met de VNG via een speciaal daartoe opengestelde </w:t>
      </w:r>
      <w:proofErr w:type="spellStart"/>
      <w:r>
        <w:t>webapplicatie</w:t>
      </w:r>
      <w:proofErr w:type="spellEnd"/>
      <w:r>
        <w:t xml:space="preserve">. Hieronder worden de bevindingen van de tweede ledenpeiling </w:t>
      </w:r>
      <w:proofErr w:type="spellStart"/>
      <w:r>
        <w:t>zelftest</w:t>
      </w:r>
      <w:proofErr w:type="spellEnd"/>
      <w:r>
        <w:t xml:space="preserve"> </w:t>
      </w:r>
      <w:proofErr w:type="spellStart"/>
      <w:r>
        <w:t>Suwinet</w:t>
      </w:r>
      <w:proofErr w:type="spellEnd"/>
      <w:r>
        <w:t xml:space="preserve"> beschreven. Ze worden vergeleken met de uitkomsten van de eerste ledenpeiling </w:t>
      </w:r>
      <w:r w:rsidR="00091ABE">
        <w:t xml:space="preserve">(afgenomen tussen januari – maart 2014 en gepubliceerd op 8 mei 2014) </w:t>
      </w:r>
      <w:r>
        <w:t xml:space="preserve">en met de uitkomsten van het onderzoek van de SZW Inspectie. </w:t>
      </w:r>
    </w:p>
    <w:p w:rsidR="002A1A11" w:rsidRDefault="002A1A11" w:rsidP="00A04602">
      <w:pPr>
        <w:tabs>
          <w:tab w:val="left" w:pos="851"/>
        </w:tabs>
        <w:spacing w:line="264" w:lineRule="auto"/>
      </w:pPr>
    </w:p>
    <w:p w:rsidR="002A1A11" w:rsidRDefault="002A1A11" w:rsidP="00A04602">
      <w:pPr>
        <w:tabs>
          <w:tab w:val="left" w:pos="851"/>
        </w:tabs>
        <w:spacing w:line="264" w:lineRule="auto"/>
        <w:rPr>
          <w:b/>
        </w:rPr>
      </w:pPr>
      <w:r>
        <w:rPr>
          <w:b/>
        </w:rPr>
        <w:t>Respons</w:t>
      </w:r>
    </w:p>
    <w:p w:rsidR="00091ABE" w:rsidRDefault="002A1A11" w:rsidP="00A04602">
      <w:pPr>
        <w:tabs>
          <w:tab w:val="left" w:pos="851"/>
        </w:tabs>
        <w:spacing w:line="264" w:lineRule="auto"/>
      </w:pPr>
      <w:r>
        <w:t xml:space="preserve">In de tweede ledenpeiling zijn reacties van 233 unieke en herleidbare </w:t>
      </w:r>
      <w:r w:rsidR="00091ABE">
        <w:t xml:space="preserve">gemeentelijke </w:t>
      </w:r>
      <w:r>
        <w:t>organisaties aangeleverd. Vanuit enkele samenwerkingsverbanden is één reactie aangeleverd</w:t>
      </w:r>
      <w:r w:rsidR="00091ABE">
        <w:t xml:space="preserve"> voor meer dan één gemeenten. In totaal gaat het om 259 gemeenten. Vorig jaar betrof het 257 unieke reacties van 274 gemeenten. </w:t>
      </w:r>
      <w:r w:rsidR="00BA3BD1">
        <w:t xml:space="preserve">Net als vorig jaar is een aantal reacties verwijderd omdat deze anoniem waren aangeleverd of grotendeels oningevuld waren aangeleverd. </w:t>
      </w:r>
      <w:r w:rsidR="00091ABE">
        <w:t xml:space="preserve">Daarmee is de </w:t>
      </w:r>
      <w:proofErr w:type="spellStart"/>
      <w:r w:rsidR="00091ABE">
        <w:t>responsrate</w:t>
      </w:r>
      <w:proofErr w:type="spellEnd"/>
      <w:r w:rsidR="00091ABE">
        <w:t xml:space="preserve"> 259 / 393 gemeenten is 66%. Vorig jaar was de </w:t>
      </w:r>
      <w:proofErr w:type="spellStart"/>
      <w:r w:rsidR="00091ABE">
        <w:t>responsrate</w:t>
      </w:r>
      <w:proofErr w:type="spellEnd"/>
      <w:r w:rsidR="00091ABE">
        <w:t xml:space="preserve"> 274 / 403 gemeenten is 68%. In 2015 zijn in totaal van 33 gemeenten de gegevens gebundeld aangeleverd. Van deze gemeenten kan niet per gemeente worden aangegeven of zij in de steekproef van de SZW Inspectie waren opgenomen en of en zo ja op welke termijn zij naar de gemeenteraad verantwoorden. </w:t>
      </w:r>
    </w:p>
    <w:p w:rsidR="00091ABE" w:rsidRDefault="00091ABE" w:rsidP="00A04602">
      <w:pPr>
        <w:tabs>
          <w:tab w:val="left" w:pos="851"/>
        </w:tabs>
        <w:spacing w:line="264" w:lineRule="auto"/>
      </w:pPr>
    </w:p>
    <w:p w:rsidR="00E55C39" w:rsidRDefault="00091ABE" w:rsidP="00A04602">
      <w:pPr>
        <w:tabs>
          <w:tab w:val="left" w:pos="851"/>
        </w:tabs>
        <w:spacing w:line="264" w:lineRule="auto"/>
        <w:rPr>
          <w:b/>
        </w:rPr>
      </w:pPr>
      <w:r w:rsidRPr="00091ABE">
        <w:rPr>
          <w:b/>
        </w:rPr>
        <w:t xml:space="preserve">Uitsplitsing respons naar steekproef en niet-steekproef gemeenten </w:t>
      </w:r>
    </w:p>
    <w:p w:rsidR="00BA3BD1" w:rsidRDefault="00BA3BD1" w:rsidP="00A04602">
      <w:pPr>
        <w:tabs>
          <w:tab w:val="left" w:pos="851"/>
        </w:tabs>
        <w:spacing w:line="264" w:lineRule="auto"/>
      </w:pPr>
      <w:r>
        <w:t xml:space="preserve">79 van de 233 geven aan dat zij in de steekproef van de SZW Inspectie waren opgenomen. 79 gemeenten van in totaal 108 steekproefgemeenten is 73%. Dat is hoger dan de 66% </w:t>
      </w:r>
      <w:proofErr w:type="spellStart"/>
      <w:r>
        <w:t>responsrate</w:t>
      </w:r>
      <w:proofErr w:type="spellEnd"/>
      <w:r>
        <w:t xml:space="preserve">. De vraag is of gemeenten die in de steekproef van het Inspectieonderzoek ook eerder geneigd zijn om deel te nemen aan de ledenpeiling of dat ook gemeenten die in de steekproef van het eerste inspectie-onderzoek waren opgenomen, dit opnieuw hebben aangegeven. </w:t>
      </w:r>
    </w:p>
    <w:p w:rsidR="00BA3BD1" w:rsidRDefault="00BA3BD1" w:rsidP="00A04602">
      <w:pPr>
        <w:tabs>
          <w:tab w:val="left" w:pos="851"/>
        </w:tabs>
        <w:spacing w:line="264" w:lineRule="auto"/>
      </w:pPr>
    </w:p>
    <w:p w:rsidR="00091ABE" w:rsidRDefault="00BA3BD1" w:rsidP="00A04602">
      <w:pPr>
        <w:tabs>
          <w:tab w:val="left" w:pos="851"/>
        </w:tabs>
        <w:spacing w:line="264" w:lineRule="auto"/>
        <w:rPr>
          <w:b/>
        </w:rPr>
      </w:pPr>
      <w:r w:rsidRPr="00BA3BD1">
        <w:rPr>
          <w:b/>
        </w:rPr>
        <w:t xml:space="preserve">Uitkomsten per norm </w:t>
      </w:r>
    </w:p>
    <w:p w:rsidR="00BA3BD1" w:rsidRDefault="00BA3BD1" w:rsidP="00A04602">
      <w:pPr>
        <w:tabs>
          <w:tab w:val="left" w:pos="851"/>
        </w:tabs>
        <w:spacing w:line="264" w:lineRule="auto"/>
      </w:pPr>
      <w:r>
        <w:t xml:space="preserve">Hieronder wordt per norm aangegeven hoeveel gemeenten aangeven eraan te voldoen. Deze aantallen betreffen de 233 unieke reacties. </w:t>
      </w:r>
    </w:p>
    <w:p w:rsidR="00F151F7" w:rsidRDefault="00F151F7" w:rsidP="00A04602">
      <w:pPr>
        <w:tabs>
          <w:tab w:val="left" w:pos="851"/>
        </w:tabs>
        <w:spacing w:line="264" w:lineRule="auto"/>
      </w:pPr>
    </w:p>
    <w:p w:rsidR="00F151F7" w:rsidRDefault="00F151F7" w:rsidP="006218B3">
      <w:pPr>
        <w:pBdr>
          <w:top w:val="single" w:sz="4" w:space="1" w:color="auto"/>
          <w:left w:val="single" w:sz="4" w:space="4" w:color="auto"/>
          <w:bottom w:val="single" w:sz="4" w:space="1" w:color="auto"/>
          <w:right w:val="single" w:sz="4" w:space="4" w:color="auto"/>
        </w:pBdr>
        <w:tabs>
          <w:tab w:val="left" w:pos="851"/>
        </w:tabs>
        <w:spacing w:line="264" w:lineRule="auto"/>
      </w:pPr>
      <w:r>
        <w:t xml:space="preserve">Norm 1.3. Het informatiebeveiligingsbeleid en het beveiligingsplan zijn goedgekeurd door het management en / of de directie en / of het college van B&amp;W. </w:t>
      </w:r>
    </w:p>
    <w:p w:rsidR="00603A8F" w:rsidRDefault="00603A8F" w:rsidP="00603A8F">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2013: Inspectieonderzoek ‘De burger bediend’ </w:t>
      </w:r>
      <w:r w:rsidRPr="000F4D94">
        <w:rPr>
          <w:b/>
        </w:rPr>
        <w:t>74%</w:t>
      </w:r>
    </w:p>
    <w:p w:rsidR="00603A8F" w:rsidRDefault="00603A8F" w:rsidP="00603A8F">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2014: van 257 gemeenten geven 201 aan hieraan te voldoen </w:t>
      </w:r>
      <w:r w:rsidRPr="000F4D94">
        <w:rPr>
          <w:b/>
        </w:rPr>
        <w:t>78%</w:t>
      </w:r>
    </w:p>
    <w:p w:rsidR="00562C2F" w:rsidRDefault="000F4D94" w:rsidP="006218B3">
      <w:pPr>
        <w:pBdr>
          <w:top w:val="single" w:sz="4" w:space="1" w:color="auto"/>
          <w:left w:val="single" w:sz="4" w:space="4" w:color="auto"/>
          <w:bottom w:val="single" w:sz="4" w:space="1" w:color="auto"/>
          <w:right w:val="single" w:sz="4" w:space="4" w:color="auto"/>
        </w:pBdr>
        <w:tabs>
          <w:tab w:val="left" w:pos="851"/>
        </w:tabs>
        <w:spacing w:line="264" w:lineRule="auto"/>
        <w:rPr>
          <w:b/>
        </w:rPr>
      </w:pPr>
      <w:r>
        <w:t xml:space="preserve">2015: </w:t>
      </w:r>
      <w:r w:rsidR="00562C2F">
        <w:t>Inspectieonderzoek ‘</w:t>
      </w:r>
      <w:proofErr w:type="spellStart"/>
      <w:r w:rsidR="00562C2F">
        <w:t>Suwinet</w:t>
      </w:r>
      <w:proofErr w:type="spellEnd"/>
      <w:r w:rsidR="00562C2F">
        <w:t>, veilig omgaan met elkaars gegevens’</w:t>
      </w:r>
      <w:r>
        <w:t xml:space="preserve"> </w:t>
      </w:r>
      <w:r w:rsidRPr="000F4D94">
        <w:rPr>
          <w:b/>
        </w:rPr>
        <w:t>8</w:t>
      </w:r>
      <w:r w:rsidR="005A0F91">
        <w:rPr>
          <w:b/>
        </w:rPr>
        <w:t>2</w:t>
      </w:r>
      <w:r w:rsidRPr="000F4D94">
        <w:rPr>
          <w:b/>
        </w:rPr>
        <w:t>%</w:t>
      </w:r>
    </w:p>
    <w:p w:rsidR="00603A8F" w:rsidRDefault="00603A8F" w:rsidP="006218B3">
      <w:pPr>
        <w:pBdr>
          <w:top w:val="single" w:sz="4" w:space="1" w:color="auto"/>
          <w:left w:val="single" w:sz="4" w:space="4" w:color="auto"/>
          <w:bottom w:val="single" w:sz="4" w:space="1" w:color="auto"/>
          <w:right w:val="single" w:sz="4" w:space="4" w:color="auto"/>
        </w:pBdr>
        <w:tabs>
          <w:tab w:val="left" w:pos="851"/>
        </w:tabs>
        <w:spacing w:line="264" w:lineRule="auto"/>
      </w:pPr>
      <w:r>
        <w:lastRenderedPageBreak/>
        <w:t xml:space="preserve">2015: van 233 gemeenten geven 209 aan hieraan te voldoen </w:t>
      </w:r>
      <w:r w:rsidRPr="000F4D94">
        <w:rPr>
          <w:b/>
        </w:rPr>
        <w:t>90%</w:t>
      </w:r>
      <w:r>
        <w:t xml:space="preserve"> , 22 niet, 2 hebben het niet ingevuld.</w:t>
      </w:r>
    </w:p>
    <w:p w:rsidR="00F151F7" w:rsidRDefault="00F151F7" w:rsidP="00A04602">
      <w:pPr>
        <w:tabs>
          <w:tab w:val="left" w:pos="851"/>
        </w:tabs>
        <w:spacing w:line="264" w:lineRule="auto"/>
      </w:pPr>
    </w:p>
    <w:p w:rsidR="00F151F7" w:rsidRDefault="00F151F7" w:rsidP="006218B3">
      <w:pPr>
        <w:pBdr>
          <w:top w:val="single" w:sz="4" w:space="1" w:color="auto"/>
          <w:left w:val="single" w:sz="4" w:space="4" w:color="auto"/>
          <w:bottom w:val="single" w:sz="4" w:space="1" w:color="auto"/>
          <w:right w:val="single" w:sz="4" w:space="4" w:color="auto"/>
        </w:pBdr>
        <w:tabs>
          <w:tab w:val="left" w:pos="851"/>
        </w:tabs>
        <w:spacing w:line="264" w:lineRule="auto"/>
      </w:pPr>
      <w:r>
        <w:t>Norm 1.4. Het informatiebeveiligingsbeleid, het beveiligingsplan of de beveiligingspassage worden uitgedragen.</w:t>
      </w:r>
    </w:p>
    <w:p w:rsidR="00603A8F" w:rsidRDefault="00603A8F" w:rsidP="00603A8F">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2013: Inspectieonderzoek ‘De burger bediend’ </w:t>
      </w:r>
      <w:r w:rsidRPr="000F4D94">
        <w:rPr>
          <w:b/>
        </w:rPr>
        <w:t>28%</w:t>
      </w:r>
    </w:p>
    <w:p w:rsidR="006218B3" w:rsidRDefault="006218B3" w:rsidP="006218B3">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2014: </w:t>
      </w:r>
      <w:r w:rsidR="00562C2F">
        <w:t>van 257 gemeenten geven 141 aan hieraan te voldoen</w:t>
      </w:r>
      <w:r w:rsidR="000F4D94">
        <w:t xml:space="preserve"> </w:t>
      </w:r>
      <w:r w:rsidR="00C05AC6" w:rsidRPr="00C05AC6">
        <w:rPr>
          <w:b/>
        </w:rPr>
        <w:t>55%</w:t>
      </w:r>
    </w:p>
    <w:p w:rsidR="00562C2F" w:rsidRDefault="000F4D94" w:rsidP="006218B3">
      <w:pPr>
        <w:pBdr>
          <w:top w:val="single" w:sz="4" w:space="1" w:color="auto"/>
          <w:left w:val="single" w:sz="4" w:space="4" w:color="auto"/>
          <w:bottom w:val="single" w:sz="4" w:space="1" w:color="auto"/>
          <w:right w:val="single" w:sz="4" w:space="4" w:color="auto"/>
        </w:pBdr>
        <w:tabs>
          <w:tab w:val="left" w:pos="851"/>
        </w:tabs>
        <w:spacing w:line="264" w:lineRule="auto"/>
        <w:rPr>
          <w:b/>
        </w:rPr>
      </w:pPr>
      <w:r>
        <w:t xml:space="preserve">2015: </w:t>
      </w:r>
      <w:r w:rsidR="00562C2F">
        <w:t>Inspectieonderzoek ‘</w:t>
      </w:r>
      <w:proofErr w:type="spellStart"/>
      <w:r w:rsidR="00562C2F">
        <w:t>Suwinet</w:t>
      </w:r>
      <w:proofErr w:type="spellEnd"/>
      <w:r w:rsidR="00562C2F">
        <w:t>, veilig omgaan met elkaars gegevens’</w:t>
      </w:r>
      <w:r>
        <w:t xml:space="preserve"> </w:t>
      </w:r>
      <w:r w:rsidR="005A0F91">
        <w:rPr>
          <w:b/>
        </w:rPr>
        <w:t>63</w:t>
      </w:r>
      <w:r w:rsidRPr="000F4D94">
        <w:rPr>
          <w:b/>
        </w:rPr>
        <w:t>%</w:t>
      </w:r>
    </w:p>
    <w:p w:rsidR="00603A8F" w:rsidRDefault="00603A8F" w:rsidP="00603A8F">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2015: van 233 gemeenten geven 204 aan hieraan te voldoen </w:t>
      </w:r>
      <w:r w:rsidRPr="000F4D94">
        <w:rPr>
          <w:b/>
        </w:rPr>
        <w:t>88%</w:t>
      </w:r>
      <w:r>
        <w:t>, 27 niet, 2 hebben het niet ingevuld</w:t>
      </w:r>
    </w:p>
    <w:p w:rsidR="00F151F7" w:rsidRDefault="00F151F7" w:rsidP="00A04602">
      <w:pPr>
        <w:tabs>
          <w:tab w:val="left" w:pos="851"/>
        </w:tabs>
        <w:spacing w:line="264" w:lineRule="auto"/>
      </w:pPr>
    </w:p>
    <w:p w:rsidR="00F151F7" w:rsidRDefault="00F151F7" w:rsidP="006218B3">
      <w:pPr>
        <w:pBdr>
          <w:top w:val="single" w:sz="4" w:space="1" w:color="auto"/>
          <w:left w:val="single" w:sz="4" w:space="4" w:color="auto"/>
          <w:bottom w:val="single" w:sz="4" w:space="1" w:color="auto"/>
          <w:right w:val="single" w:sz="4" w:space="4" w:color="auto"/>
        </w:pBdr>
        <w:tabs>
          <w:tab w:val="left" w:pos="851"/>
        </w:tabs>
        <w:spacing w:line="264" w:lineRule="auto"/>
      </w:pPr>
      <w:r>
        <w:t xml:space="preserve">Norm 1.5. </w:t>
      </w:r>
      <w:r w:rsidR="00562C2F">
        <w:t xml:space="preserve">Jaarlijkse evaluatie van </w:t>
      </w:r>
      <w:r>
        <w:t>informatiebeveiligingsbeleid, het bev</w:t>
      </w:r>
      <w:r w:rsidR="00562C2F">
        <w:t>eiligingsplan of -</w:t>
      </w:r>
      <w:r>
        <w:t>passage</w:t>
      </w:r>
    </w:p>
    <w:p w:rsidR="00603A8F" w:rsidRDefault="00603A8F" w:rsidP="00603A8F">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2013: Inspectieonderzoek ‘De burger bediend’ </w:t>
      </w:r>
      <w:r w:rsidRPr="000F4D94">
        <w:rPr>
          <w:b/>
        </w:rPr>
        <w:t>26%</w:t>
      </w:r>
    </w:p>
    <w:p w:rsidR="00562C2F" w:rsidRDefault="00562C2F" w:rsidP="006218B3">
      <w:pPr>
        <w:pBdr>
          <w:top w:val="single" w:sz="4" w:space="1" w:color="auto"/>
          <w:left w:val="single" w:sz="4" w:space="4" w:color="auto"/>
          <w:bottom w:val="single" w:sz="4" w:space="1" w:color="auto"/>
          <w:right w:val="single" w:sz="4" w:space="4" w:color="auto"/>
        </w:pBdr>
        <w:tabs>
          <w:tab w:val="left" w:pos="851"/>
        </w:tabs>
        <w:spacing w:line="264" w:lineRule="auto"/>
      </w:pPr>
      <w:r>
        <w:t>2014: van 257 gemeenten geven 104 aan hieraan te voldoen</w:t>
      </w:r>
      <w:r w:rsidR="00C05AC6">
        <w:t xml:space="preserve"> </w:t>
      </w:r>
      <w:r w:rsidR="00C05AC6" w:rsidRPr="00C05AC6">
        <w:rPr>
          <w:b/>
        </w:rPr>
        <w:t>41%</w:t>
      </w:r>
    </w:p>
    <w:p w:rsidR="00562C2F" w:rsidRDefault="000F4D94" w:rsidP="006218B3">
      <w:pPr>
        <w:pBdr>
          <w:top w:val="single" w:sz="4" w:space="1" w:color="auto"/>
          <w:left w:val="single" w:sz="4" w:space="4" w:color="auto"/>
          <w:bottom w:val="single" w:sz="4" w:space="1" w:color="auto"/>
          <w:right w:val="single" w:sz="4" w:space="4" w:color="auto"/>
        </w:pBdr>
        <w:tabs>
          <w:tab w:val="left" w:pos="851"/>
        </w:tabs>
        <w:spacing w:line="264" w:lineRule="auto"/>
        <w:rPr>
          <w:b/>
        </w:rPr>
      </w:pPr>
      <w:r>
        <w:t xml:space="preserve">2015: </w:t>
      </w:r>
      <w:r w:rsidR="00562C2F">
        <w:t>Inspectieonderzoek ‘</w:t>
      </w:r>
      <w:proofErr w:type="spellStart"/>
      <w:r w:rsidR="00562C2F">
        <w:t>Suwinet</w:t>
      </w:r>
      <w:proofErr w:type="spellEnd"/>
      <w:r w:rsidR="00562C2F">
        <w:t>, veilig omgaan met elkaars gegevens’</w:t>
      </w:r>
      <w:r>
        <w:t xml:space="preserve"> </w:t>
      </w:r>
      <w:r w:rsidR="005A0F91">
        <w:rPr>
          <w:b/>
        </w:rPr>
        <w:t>53</w:t>
      </w:r>
      <w:r w:rsidRPr="000F4D94">
        <w:rPr>
          <w:b/>
        </w:rPr>
        <w:t>%</w:t>
      </w:r>
    </w:p>
    <w:p w:rsidR="00603A8F" w:rsidRDefault="00603A8F" w:rsidP="00603A8F">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2015: van 233 gemeenten geven 170 aan hieraan te voldoen </w:t>
      </w:r>
      <w:r w:rsidRPr="00C05AC6">
        <w:rPr>
          <w:b/>
        </w:rPr>
        <w:t>73%</w:t>
      </w:r>
      <w:r>
        <w:t>, 60 niet, 3 hebben het niet ingevuld</w:t>
      </w:r>
    </w:p>
    <w:p w:rsidR="006218B3" w:rsidRDefault="006218B3" w:rsidP="00A04602">
      <w:pPr>
        <w:tabs>
          <w:tab w:val="left" w:pos="851"/>
        </w:tabs>
        <w:spacing w:line="264" w:lineRule="auto"/>
      </w:pPr>
    </w:p>
    <w:p w:rsidR="006218B3" w:rsidRDefault="006218B3" w:rsidP="006218B3">
      <w:pPr>
        <w:pBdr>
          <w:top w:val="single" w:sz="4" w:space="1" w:color="auto"/>
          <w:left w:val="single" w:sz="4" w:space="4" w:color="auto"/>
          <w:bottom w:val="single" w:sz="4" w:space="1" w:color="auto"/>
          <w:right w:val="single" w:sz="4" w:space="4" w:color="auto"/>
        </w:pBdr>
        <w:tabs>
          <w:tab w:val="left" w:pos="851"/>
        </w:tabs>
        <w:spacing w:line="264" w:lineRule="auto"/>
      </w:pPr>
      <w:r>
        <w:t>Norm 2.2. Functiescheiding</w:t>
      </w:r>
    </w:p>
    <w:p w:rsidR="00603A8F" w:rsidRDefault="00603A8F" w:rsidP="00603A8F">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2013: Inspectieonderzoek ‘De burger bediend’ </w:t>
      </w:r>
      <w:r w:rsidRPr="000F4D94">
        <w:rPr>
          <w:b/>
        </w:rPr>
        <w:t>37%</w:t>
      </w:r>
    </w:p>
    <w:p w:rsidR="00562C2F" w:rsidRDefault="00562C2F" w:rsidP="006218B3">
      <w:pPr>
        <w:pBdr>
          <w:top w:val="single" w:sz="4" w:space="1" w:color="auto"/>
          <w:left w:val="single" w:sz="4" w:space="4" w:color="auto"/>
          <w:bottom w:val="single" w:sz="4" w:space="1" w:color="auto"/>
          <w:right w:val="single" w:sz="4" w:space="4" w:color="auto"/>
        </w:pBdr>
        <w:tabs>
          <w:tab w:val="left" w:pos="851"/>
        </w:tabs>
        <w:spacing w:line="264" w:lineRule="auto"/>
      </w:pPr>
      <w:r>
        <w:t>2014: van 257 gemeenten geven 178 aan hieraan te voldoen</w:t>
      </w:r>
      <w:r w:rsidR="00C05AC6">
        <w:t xml:space="preserve"> </w:t>
      </w:r>
      <w:r w:rsidR="00C05AC6" w:rsidRPr="00C05AC6">
        <w:rPr>
          <w:b/>
        </w:rPr>
        <w:t>69%</w:t>
      </w:r>
    </w:p>
    <w:p w:rsidR="00562C2F" w:rsidRDefault="000F4D94" w:rsidP="006218B3">
      <w:pPr>
        <w:pBdr>
          <w:top w:val="single" w:sz="4" w:space="1" w:color="auto"/>
          <w:left w:val="single" w:sz="4" w:space="4" w:color="auto"/>
          <w:bottom w:val="single" w:sz="4" w:space="1" w:color="auto"/>
          <w:right w:val="single" w:sz="4" w:space="4" w:color="auto"/>
        </w:pBdr>
        <w:tabs>
          <w:tab w:val="left" w:pos="851"/>
        </w:tabs>
        <w:spacing w:line="264" w:lineRule="auto"/>
        <w:rPr>
          <w:b/>
        </w:rPr>
      </w:pPr>
      <w:r>
        <w:t xml:space="preserve">2015: </w:t>
      </w:r>
      <w:r w:rsidR="00562C2F">
        <w:t>Inspectieonderzoek ‘</w:t>
      </w:r>
      <w:proofErr w:type="spellStart"/>
      <w:r w:rsidR="00562C2F">
        <w:t>Suwinet</w:t>
      </w:r>
      <w:proofErr w:type="spellEnd"/>
      <w:r w:rsidR="00562C2F">
        <w:t>, veilig omgaan met elkaars gegevens’</w:t>
      </w:r>
      <w:r>
        <w:t xml:space="preserve"> </w:t>
      </w:r>
      <w:r w:rsidR="005A0F91">
        <w:rPr>
          <w:b/>
        </w:rPr>
        <w:t>72</w:t>
      </w:r>
      <w:r w:rsidRPr="000F4D94">
        <w:rPr>
          <w:b/>
        </w:rPr>
        <w:t>%</w:t>
      </w:r>
    </w:p>
    <w:p w:rsidR="00603A8F" w:rsidRDefault="00603A8F" w:rsidP="00603A8F">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2015: van 233 gemeenten geven 215 aan hieraan te voldoen </w:t>
      </w:r>
      <w:r w:rsidRPr="00C05AC6">
        <w:rPr>
          <w:b/>
        </w:rPr>
        <w:t>92%</w:t>
      </w:r>
      <w:r>
        <w:t>, 16 niet, 2 hebben het niet ingevuld</w:t>
      </w:r>
    </w:p>
    <w:p w:rsidR="006218B3" w:rsidRDefault="006218B3" w:rsidP="00A04602">
      <w:pPr>
        <w:tabs>
          <w:tab w:val="left" w:pos="851"/>
        </w:tabs>
        <w:spacing w:line="264" w:lineRule="auto"/>
      </w:pPr>
    </w:p>
    <w:p w:rsidR="006218B3" w:rsidRDefault="006218B3" w:rsidP="006218B3">
      <w:pPr>
        <w:pBdr>
          <w:top w:val="single" w:sz="4" w:space="1" w:color="auto"/>
          <w:left w:val="single" w:sz="4" w:space="4" w:color="auto"/>
          <w:bottom w:val="single" w:sz="4" w:space="1" w:color="auto"/>
          <w:right w:val="single" w:sz="4" w:space="4" w:color="auto"/>
        </w:pBdr>
        <w:tabs>
          <w:tab w:val="left" w:pos="851"/>
        </w:tabs>
        <w:spacing w:line="264" w:lineRule="auto"/>
      </w:pPr>
      <w:r>
        <w:t xml:space="preserve">Norm 2.3 Security </w:t>
      </w:r>
      <w:proofErr w:type="spellStart"/>
      <w:r>
        <w:t>officer</w:t>
      </w:r>
      <w:proofErr w:type="spellEnd"/>
    </w:p>
    <w:p w:rsidR="00A37B60" w:rsidRDefault="00A37B60" w:rsidP="00A37B60">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2013: Inspectieonderzoek ‘De burger bediend’ </w:t>
      </w:r>
      <w:r w:rsidRPr="000F4D94">
        <w:rPr>
          <w:b/>
        </w:rPr>
        <w:t>23%</w:t>
      </w:r>
    </w:p>
    <w:p w:rsidR="00562C2F" w:rsidRDefault="00562C2F" w:rsidP="006218B3">
      <w:pPr>
        <w:pBdr>
          <w:top w:val="single" w:sz="4" w:space="1" w:color="auto"/>
          <w:left w:val="single" w:sz="4" w:space="4" w:color="auto"/>
          <w:bottom w:val="single" w:sz="4" w:space="1" w:color="auto"/>
          <w:right w:val="single" w:sz="4" w:space="4" w:color="auto"/>
        </w:pBdr>
        <w:tabs>
          <w:tab w:val="left" w:pos="851"/>
        </w:tabs>
        <w:spacing w:line="264" w:lineRule="auto"/>
      </w:pPr>
      <w:r>
        <w:t>2014: van 257 gemeenten geven 115 aan hieraan te voldoen</w:t>
      </w:r>
      <w:r w:rsidR="00C05AC6">
        <w:t xml:space="preserve"> </w:t>
      </w:r>
      <w:r w:rsidR="00C05AC6" w:rsidRPr="00C05AC6">
        <w:rPr>
          <w:b/>
        </w:rPr>
        <w:t>45%</w:t>
      </w:r>
    </w:p>
    <w:p w:rsidR="00562C2F" w:rsidRDefault="000F4D94" w:rsidP="006218B3">
      <w:pPr>
        <w:pBdr>
          <w:top w:val="single" w:sz="4" w:space="1" w:color="auto"/>
          <w:left w:val="single" w:sz="4" w:space="4" w:color="auto"/>
          <w:bottom w:val="single" w:sz="4" w:space="1" w:color="auto"/>
          <w:right w:val="single" w:sz="4" w:space="4" w:color="auto"/>
        </w:pBdr>
        <w:tabs>
          <w:tab w:val="left" w:pos="851"/>
        </w:tabs>
        <w:spacing w:line="264" w:lineRule="auto"/>
        <w:rPr>
          <w:b/>
        </w:rPr>
      </w:pPr>
      <w:r>
        <w:t xml:space="preserve">2015: </w:t>
      </w:r>
      <w:r w:rsidR="00562C2F">
        <w:t>Inspectieonderzoek ‘</w:t>
      </w:r>
      <w:proofErr w:type="spellStart"/>
      <w:r w:rsidR="00562C2F">
        <w:t>Suwinet</w:t>
      </w:r>
      <w:proofErr w:type="spellEnd"/>
      <w:r w:rsidR="00562C2F">
        <w:t>, veilig omgaan met elkaars gegevens’</w:t>
      </w:r>
      <w:r>
        <w:t xml:space="preserve"> </w:t>
      </w:r>
      <w:r w:rsidR="005A0F91">
        <w:rPr>
          <w:b/>
        </w:rPr>
        <w:t>44</w:t>
      </w:r>
      <w:r w:rsidRPr="000F4D94">
        <w:rPr>
          <w:b/>
        </w:rPr>
        <w:t>%</w:t>
      </w:r>
    </w:p>
    <w:p w:rsidR="00A37B60" w:rsidRDefault="00A37B60" w:rsidP="00A37B60">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2015: van 233 gemeenten geven 174 aan hieraan te voldoen </w:t>
      </w:r>
      <w:r w:rsidRPr="00C05AC6">
        <w:rPr>
          <w:b/>
        </w:rPr>
        <w:t>75%</w:t>
      </w:r>
      <w:r>
        <w:t>, 57 niet, 2 hebben het niet ingevuld</w:t>
      </w:r>
    </w:p>
    <w:p w:rsidR="006218B3" w:rsidRDefault="006218B3" w:rsidP="00A04602">
      <w:pPr>
        <w:tabs>
          <w:tab w:val="left" w:pos="851"/>
        </w:tabs>
        <w:spacing w:line="264" w:lineRule="auto"/>
      </w:pPr>
    </w:p>
    <w:p w:rsidR="006218B3" w:rsidRDefault="006218B3" w:rsidP="006218B3">
      <w:pPr>
        <w:pBdr>
          <w:top w:val="single" w:sz="4" w:space="1" w:color="auto"/>
          <w:left w:val="single" w:sz="4" w:space="4" w:color="auto"/>
          <w:bottom w:val="single" w:sz="4" w:space="1" w:color="auto"/>
          <w:right w:val="single" w:sz="4" w:space="4" w:color="auto"/>
        </w:pBdr>
        <w:tabs>
          <w:tab w:val="left" w:pos="851"/>
        </w:tabs>
        <w:spacing w:line="264" w:lineRule="auto"/>
      </w:pPr>
      <w:r>
        <w:t>Norm 13.1 Autorisatieprocedure</w:t>
      </w:r>
    </w:p>
    <w:p w:rsidR="00A37B60" w:rsidRDefault="00A37B60" w:rsidP="00A37B60">
      <w:pPr>
        <w:pBdr>
          <w:top w:val="single" w:sz="4" w:space="1" w:color="auto"/>
          <w:left w:val="single" w:sz="4" w:space="4" w:color="auto"/>
          <w:bottom w:val="single" w:sz="4" w:space="1" w:color="auto"/>
          <w:right w:val="single" w:sz="4" w:space="4" w:color="auto"/>
        </w:pBdr>
        <w:tabs>
          <w:tab w:val="left" w:pos="851"/>
        </w:tabs>
        <w:spacing w:line="264" w:lineRule="auto"/>
      </w:pPr>
      <w:r>
        <w:t>2013:</w:t>
      </w:r>
      <w:r w:rsidRPr="000F4D94">
        <w:t xml:space="preserve"> </w:t>
      </w:r>
      <w:r>
        <w:t xml:space="preserve">Inspectieonderzoek ‘De burger bediend’ </w:t>
      </w:r>
      <w:r w:rsidRPr="000F4D94">
        <w:rPr>
          <w:b/>
        </w:rPr>
        <w:t>33%</w:t>
      </w:r>
    </w:p>
    <w:p w:rsidR="00562C2F" w:rsidRDefault="00562C2F" w:rsidP="006218B3">
      <w:pPr>
        <w:pBdr>
          <w:top w:val="single" w:sz="4" w:space="1" w:color="auto"/>
          <w:left w:val="single" w:sz="4" w:space="4" w:color="auto"/>
          <w:bottom w:val="single" w:sz="4" w:space="1" w:color="auto"/>
          <w:right w:val="single" w:sz="4" w:space="4" w:color="auto"/>
        </w:pBdr>
        <w:tabs>
          <w:tab w:val="left" w:pos="851"/>
        </w:tabs>
        <w:spacing w:line="264" w:lineRule="auto"/>
      </w:pPr>
      <w:r>
        <w:t>2014: van 257 gemeenten geven 175 aan hieraan te voldoen</w:t>
      </w:r>
      <w:r w:rsidR="00C05AC6">
        <w:t xml:space="preserve"> </w:t>
      </w:r>
      <w:r w:rsidR="00C05AC6" w:rsidRPr="00C05AC6">
        <w:rPr>
          <w:b/>
        </w:rPr>
        <w:t>68%</w:t>
      </w:r>
    </w:p>
    <w:p w:rsidR="00562C2F" w:rsidRDefault="000F4D94" w:rsidP="006218B3">
      <w:pPr>
        <w:pBdr>
          <w:top w:val="single" w:sz="4" w:space="1" w:color="auto"/>
          <w:left w:val="single" w:sz="4" w:space="4" w:color="auto"/>
          <w:bottom w:val="single" w:sz="4" w:space="1" w:color="auto"/>
          <w:right w:val="single" w:sz="4" w:space="4" w:color="auto"/>
        </w:pBdr>
        <w:tabs>
          <w:tab w:val="left" w:pos="851"/>
        </w:tabs>
        <w:spacing w:line="264" w:lineRule="auto"/>
        <w:rPr>
          <w:b/>
        </w:rPr>
      </w:pPr>
      <w:r>
        <w:t xml:space="preserve">2015: </w:t>
      </w:r>
      <w:r w:rsidR="00562C2F">
        <w:t>Inspectieonderzoek ‘</w:t>
      </w:r>
      <w:proofErr w:type="spellStart"/>
      <w:r w:rsidR="00562C2F">
        <w:t>Suwinet</w:t>
      </w:r>
      <w:proofErr w:type="spellEnd"/>
      <w:r w:rsidR="00562C2F">
        <w:t>, veilig omgaan met elkaars gegevens’</w:t>
      </w:r>
      <w:r>
        <w:t xml:space="preserve"> </w:t>
      </w:r>
      <w:r w:rsidR="005A0F91">
        <w:rPr>
          <w:b/>
        </w:rPr>
        <w:t>53</w:t>
      </w:r>
      <w:r w:rsidRPr="000F4D94">
        <w:rPr>
          <w:b/>
        </w:rPr>
        <w:t>%</w:t>
      </w:r>
    </w:p>
    <w:p w:rsidR="00A37B60" w:rsidRDefault="00A37B60" w:rsidP="00A37B60">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2015: van 233 gemeenten geven 193 aan hieraan te voldoen </w:t>
      </w:r>
      <w:r w:rsidRPr="00C05AC6">
        <w:rPr>
          <w:b/>
        </w:rPr>
        <w:t>83%</w:t>
      </w:r>
      <w:r>
        <w:t>, 37 niet, 3 hebben het niet ingevuld</w:t>
      </w:r>
    </w:p>
    <w:p w:rsidR="006218B3" w:rsidRDefault="006218B3" w:rsidP="00A04602">
      <w:pPr>
        <w:tabs>
          <w:tab w:val="left" w:pos="851"/>
        </w:tabs>
        <w:spacing w:line="264" w:lineRule="auto"/>
      </w:pPr>
    </w:p>
    <w:p w:rsidR="006218B3" w:rsidRDefault="006218B3" w:rsidP="006218B3">
      <w:pPr>
        <w:pBdr>
          <w:top w:val="single" w:sz="4" w:space="1" w:color="auto"/>
          <w:left w:val="single" w:sz="4" w:space="4" w:color="auto"/>
          <w:bottom w:val="single" w:sz="4" w:space="1" w:color="auto"/>
          <w:right w:val="single" w:sz="4" w:space="4" w:color="auto"/>
        </w:pBdr>
        <w:tabs>
          <w:tab w:val="left" w:pos="851"/>
        </w:tabs>
        <w:spacing w:line="264" w:lineRule="auto"/>
      </w:pPr>
      <w:r>
        <w:t>Norm 13.5 Controle op toegang en gebruik</w:t>
      </w:r>
    </w:p>
    <w:p w:rsidR="00A37B60" w:rsidRDefault="00A37B60" w:rsidP="00A37B60">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2013: Inspectieonderzoek ‘De burger bediend’ </w:t>
      </w:r>
      <w:r w:rsidRPr="000F4D94">
        <w:rPr>
          <w:b/>
        </w:rPr>
        <w:t>21%</w:t>
      </w:r>
    </w:p>
    <w:p w:rsidR="00562C2F" w:rsidRDefault="00562C2F" w:rsidP="006218B3">
      <w:pPr>
        <w:pBdr>
          <w:top w:val="single" w:sz="4" w:space="1" w:color="auto"/>
          <w:left w:val="single" w:sz="4" w:space="4" w:color="auto"/>
          <w:bottom w:val="single" w:sz="4" w:space="1" w:color="auto"/>
          <w:right w:val="single" w:sz="4" w:space="4" w:color="auto"/>
        </w:pBdr>
        <w:tabs>
          <w:tab w:val="left" w:pos="851"/>
        </w:tabs>
        <w:spacing w:line="264" w:lineRule="auto"/>
      </w:pPr>
      <w:r>
        <w:t>2014: van 257 gemeenten geven 144 aan hieraan te voldoen</w:t>
      </w:r>
      <w:r w:rsidR="00C05AC6">
        <w:t xml:space="preserve"> </w:t>
      </w:r>
      <w:r w:rsidR="00C05AC6" w:rsidRPr="00C05AC6">
        <w:rPr>
          <w:b/>
        </w:rPr>
        <w:t>56%</w:t>
      </w:r>
    </w:p>
    <w:p w:rsidR="00C05AC6" w:rsidRDefault="000F4D94" w:rsidP="006218B3">
      <w:pPr>
        <w:pBdr>
          <w:top w:val="single" w:sz="4" w:space="1" w:color="auto"/>
          <w:left w:val="single" w:sz="4" w:space="4" w:color="auto"/>
          <w:bottom w:val="single" w:sz="4" w:space="1" w:color="auto"/>
          <w:right w:val="single" w:sz="4" w:space="4" w:color="auto"/>
        </w:pBdr>
        <w:tabs>
          <w:tab w:val="left" w:pos="851"/>
        </w:tabs>
        <w:spacing w:line="264" w:lineRule="auto"/>
        <w:rPr>
          <w:b/>
        </w:rPr>
      </w:pPr>
      <w:r>
        <w:t xml:space="preserve">2015: </w:t>
      </w:r>
      <w:r w:rsidR="00562C2F">
        <w:t>Inspectieonderzoek ‘</w:t>
      </w:r>
      <w:proofErr w:type="spellStart"/>
      <w:r w:rsidR="00562C2F">
        <w:t>Suwinet</w:t>
      </w:r>
      <w:proofErr w:type="spellEnd"/>
      <w:r w:rsidR="00562C2F">
        <w:t>, veilig omgaan met elkaars gegevens’</w:t>
      </w:r>
      <w:r w:rsidR="006218B3">
        <w:t xml:space="preserve"> </w:t>
      </w:r>
      <w:r w:rsidR="005A0F91">
        <w:rPr>
          <w:b/>
        </w:rPr>
        <w:t>37</w:t>
      </w:r>
      <w:r w:rsidRPr="000F4D94">
        <w:rPr>
          <w:b/>
        </w:rPr>
        <w:t>%</w:t>
      </w:r>
    </w:p>
    <w:p w:rsidR="00A37B60" w:rsidRDefault="00A37B60" w:rsidP="00A37B60">
      <w:pPr>
        <w:pBdr>
          <w:top w:val="single" w:sz="4" w:space="1" w:color="auto"/>
          <w:left w:val="single" w:sz="4" w:space="4" w:color="auto"/>
          <w:bottom w:val="single" w:sz="4" w:space="1" w:color="auto"/>
          <w:right w:val="single" w:sz="4" w:space="4" w:color="auto"/>
        </w:pBdr>
        <w:tabs>
          <w:tab w:val="left" w:pos="851"/>
        </w:tabs>
        <w:spacing w:line="264" w:lineRule="auto"/>
      </w:pPr>
      <w:r>
        <w:t xml:space="preserve">2015: van 233 gemeenten geven 186 aan hieraan te voldoen </w:t>
      </w:r>
      <w:r w:rsidRPr="00C05AC6">
        <w:rPr>
          <w:b/>
        </w:rPr>
        <w:t>80%</w:t>
      </w:r>
      <w:r>
        <w:t>, 44 niet, 3 hebben het niet ingevuld</w:t>
      </w:r>
    </w:p>
    <w:p w:rsidR="00C05AC6" w:rsidRDefault="00C05AC6" w:rsidP="00C05AC6"/>
    <w:p w:rsidR="006218B3" w:rsidRDefault="00C05AC6" w:rsidP="00C05AC6">
      <w:pPr>
        <w:rPr>
          <w:b/>
        </w:rPr>
      </w:pPr>
      <w:r w:rsidRPr="00C05AC6">
        <w:rPr>
          <w:b/>
        </w:rPr>
        <w:t>Totaalbeeld</w:t>
      </w:r>
    </w:p>
    <w:tbl>
      <w:tblPr>
        <w:tblStyle w:val="Tabelraster"/>
        <w:tblW w:w="0" w:type="auto"/>
        <w:tblLook w:val="04A0" w:firstRow="1" w:lastRow="0" w:firstColumn="1" w:lastColumn="0" w:noHBand="0" w:noVBand="1"/>
      </w:tblPr>
      <w:tblGrid>
        <w:gridCol w:w="1842"/>
        <w:gridCol w:w="1842"/>
        <w:gridCol w:w="1842"/>
        <w:gridCol w:w="1843"/>
        <w:gridCol w:w="1843"/>
      </w:tblGrid>
      <w:tr w:rsidR="00C63240" w:rsidTr="00C63240">
        <w:tc>
          <w:tcPr>
            <w:tcW w:w="1842" w:type="dxa"/>
          </w:tcPr>
          <w:p w:rsidR="00C63240" w:rsidRDefault="00C63240" w:rsidP="00C05AC6">
            <w:pPr>
              <w:rPr>
                <w:b/>
              </w:rPr>
            </w:pPr>
            <w:r>
              <w:rPr>
                <w:b/>
              </w:rPr>
              <w:t>Aantal normen</w:t>
            </w:r>
          </w:p>
        </w:tc>
        <w:tc>
          <w:tcPr>
            <w:tcW w:w="1842" w:type="dxa"/>
          </w:tcPr>
          <w:p w:rsidR="00C63240" w:rsidRDefault="00C63240" w:rsidP="00C05AC6">
            <w:pPr>
              <w:rPr>
                <w:b/>
              </w:rPr>
            </w:pPr>
            <w:r>
              <w:rPr>
                <w:b/>
              </w:rPr>
              <w:t>Inspectie 2013</w:t>
            </w:r>
          </w:p>
        </w:tc>
        <w:tc>
          <w:tcPr>
            <w:tcW w:w="1842" w:type="dxa"/>
          </w:tcPr>
          <w:p w:rsidR="00C63240" w:rsidRDefault="00C63240" w:rsidP="00C05AC6">
            <w:pPr>
              <w:rPr>
                <w:b/>
              </w:rPr>
            </w:pPr>
            <w:r>
              <w:rPr>
                <w:b/>
              </w:rPr>
              <w:t>VNG-peiling 2014</w:t>
            </w:r>
          </w:p>
        </w:tc>
        <w:tc>
          <w:tcPr>
            <w:tcW w:w="1843" w:type="dxa"/>
          </w:tcPr>
          <w:p w:rsidR="00C63240" w:rsidRDefault="00C63240" w:rsidP="00C05AC6">
            <w:pPr>
              <w:rPr>
                <w:b/>
              </w:rPr>
            </w:pPr>
            <w:r>
              <w:rPr>
                <w:b/>
              </w:rPr>
              <w:t>Inspectie 2015</w:t>
            </w:r>
          </w:p>
        </w:tc>
        <w:tc>
          <w:tcPr>
            <w:tcW w:w="1843" w:type="dxa"/>
          </w:tcPr>
          <w:p w:rsidR="00C63240" w:rsidRDefault="00C63240" w:rsidP="00C05AC6">
            <w:pPr>
              <w:rPr>
                <w:b/>
              </w:rPr>
            </w:pPr>
            <w:r>
              <w:rPr>
                <w:b/>
              </w:rPr>
              <w:t>VNG-peiling 2015</w:t>
            </w:r>
          </w:p>
        </w:tc>
      </w:tr>
      <w:tr w:rsidR="00C63240" w:rsidRPr="00C63240" w:rsidTr="00C63240">
        <w:tc>
          <w:tcPr>
            <w:tcW w:w="1842" w:type="dxa"/>
          </w:tcPr>
          <w:p w:rsidR="00C63240" w:rsidRPr="00C63240" w:rsidRDefault="00C63240" w:rsidP="00C05AC6">
            <w:r>
              <w:t>7</w:t>
            </w:r>
          </w:p>
        </w:tc>
        <w:tc>
          <w:tcPr>
            <w:tcW w:w="1842" w:type="dxa"/>
          </w:tcPr>
          <w:p w:rsidR="00C63240" w:rsidRPr="00C63240" w:rsidRDefault="00214CBC" w:rsidP="00C05AC6">
            <w:r>
              <w:t>4%</w:t>
            </w:r>
          </w:p>
        </w:tc>
        <w:tc>
          <w:tcPr>
            <w:tcW w:w="1842" w:type="dxa"/>
          </w:tcPr>
          <w:p w:rsidR="00C63240" w:rsidRPr="00C63240" w:rsidRDefault="00214CBC" w:rsidP="00C05AC6">
            <w:r>
              <w:t>22%</w:t>
            </w:r>
          </w:p>
        </w:tc>
        <w:tc>
          <w:tcPr>
            <w:tcW w:w="1843" w:type="dxa"/>
          </w:tcPr>
          <w:p w:rsidR="00C63240" w:rsidRPr="00C63240" w:rsidRDefault="00214CBC" w:rsidP="00C05AC6">
            <w:r>
              <w:t>17%</w:t>
            </w:r>
          </w:p>
        </w:tc>
        <w:tc>
          <w:tcPr>
            <w:tcW w:w="1843" w:type="dxa"/>
          </w:tcPr>
          <w:p w:rsidR="00C63240" w:rsidRPr="00C63240" w:rsidRDefault="00927AD5" w:rsidP="00927AD5">
            <w:r>
              <w:t>48%</w:t>
            </w:r>
          </w:p>
        </w:tc>
      </w:tr>
      <w:tr w:rsidR="00C63240" w:rsidRPr="00C63240" w:rsidTr="00C63240">
        <w:tc>
          <w:tcPr>
            <w:tcW w:w="1842" w:type="dxa"/>
          </w:tcPr>
          <w:p w:rsidR="00C63240" w:rsidRPr="00C63240" w:rsidRDefault="00C63240" w:rsidP="00C05AC6">
            <w:r>
              <w:t>6</w:t>
            </w:r>
          </w:p>
        </w:tc>
        <w:tc>
          <w:tcPr>
            <w:tcW w:w="1842" w:type="dxa"/>
          </w:tcPr>
          <w:p w:rsidR="00C63240" w:rsidRPr="00C63240" w:rsidRDefault="00214CBC" w:rsidP="00C05AC6">
            <w:r>
              <w:t>4%</w:t>
            </w:r>
          </w:p>
        </w:tc>
        <w:tc>
          <w:tcPr>
            <w:tcW w:w="1842" w:type="dxa"/>
          </w:tcPr>
          <w:p w:rsidR="00C63240" w:rsidRPr="00C63240" w:rsidRDefault="00214CBC" w:rsidP="00C05AC6">
            <w:r>
              <w:t>11%</w:t>
            </w:r>
          </w:p>
        </w:tc>
        <w:tc>
          <w:tcPr>
            <w:tcW w:w="1843" w:type="dxa"/>
          </w:tcPr>
          <w:p w:rsidR="00C63240" w:rsidRPr="00C63240" w:rsidRDefault="00214CBC" w:rsidP="00C05AC6">
            <w:r>
              <w:t>17%</w:t>
            </w:r>
          </w:p>
        </w:tc>
        <w:tc>
          <w:tcPr>
            <w:tcW w:w="1843" w:type="dxa"/>
          </w:tcPr>
          <w:p w:rsidR="00C63240" w:rsidRPr="00C63240" w:rsidRDefault="00927AD5" w:rsidP="00C05AC6">
            <w:r>
              <w:t>21%</w:t>
            </w:r>
          </w:p>
        </w:tc>
      </w:tr>
      <w:tr w:rsidR="00C63240" w:rsidRPr="00C63240" w:rsidTr="00C63240">
        <w:tc>
          <w:tcPr>
            <w:tcW w:w="1842" w:type="dxa"/>
          </w:tcPr>
          <w:p w:rsidR="00C63240" w:rsidRPr="00C63240" w:rsidRDefault="00C63240" w:rsidP="00C05AC6">
            <w:r>
              <w:t>5</w:t>
            </w:r>
          </w:p>
        </w:tc>
        <w:tc>
          <w:tcPr>
            <w:tcW w:w="1842" w:type="dxa"/>
          </w:tcPr>
          <w:p w:rsidR="00C63240" w:rsidRPr="00C63240" w:rsidRDefault="00214CBC" w:rsidP="00C05AC6">
            <w:r>
              <w:t>10%</w:t>
            </w:r>
          </w:p>
        </w:tc>
        <w:tc>
          <w:tcPr>
            <w:tcW w:w="1842" w:type="dxa"/>
          </w:tcPr>
          <w:p w:rsidR="00C63240" w:rsidRPr="00C63240" w:rsidRDefault="00214CBC" w:rsidP="00C05AC6">
            <w:r>
              <w:t>16%</w:t>
            </w:r>
          </w:p>
        </w:tc>
        <w:tc>
          <w:tcPr>
            <w:tcW w:w="1843" w:type="dxa"/>
          </w:tcPr>
          <w:p w:rsidR="00C63240" w:rsidRPr="00C63240" w:rsidRDefault="00214CBC" w:rsidP="00C05AC6">
            <w:r>
              <w:t>14%</w:t>
            </w:r>
          </w:p>
        </w:tc>
        <w:tc>
          <w:tcPr>
            <w:tcW w:w="1843" w:type="dxa"/>
          </w:tcPr>
          <w:p w:rsidR="00C63240" w:rsidRPr="00C63240" w:rsidRDefault="00927AD5" w:rsidP="00C05AC6">
            <w:r>
              <w:t>13%</w:t>
            </w:r>
          </w:p>
        </w:tc>
      </w:tr>
      <w:tr w:rsidR="00C63240" w:rsidRPr="00C63240" w:rsidTr="00C63240">
        <w:tc>
          <w:tcPr>
            <w:tcW w:w="1842" w:type="dxa"/>
          </w:tcPr>
          <w:p w:rsidR="00C63240" w:rsidRPr="00C63240" w:rsidRDefault="00C63240" w:rsidP="00C05AC6">
            <w:r>
              <w:t>4</w:t>
            </w:r>
          </w:p>
        </w:tc>
        <w:tc>
          <w:tcPr>
            <w:tcW w:w="1842" w:type="dxa"/>
          </w:tcPr>
          <w:p w:rsidR="00C63240" w:rsidRPr="00C63240" w:rsidRDefault="00214CBC" w:rsidP="00C05AC6">
            <w:r>
              <w:t>8%</w:t>
            </w:r>
          </w:p>
        </w:tc>
        <w:tc>
          <w:tcPr>
            <w:tcW w:w="1842" w:type="dxa"/>
          </w:tcPr>
          <w:p w:rsidR="00C63240" w:rsidRPr="00C63240" w:rsidRDefault="00214CBC" w:rsidP="00C05AC6">
            <w:r>
              <w:t>15%</w:t>
            </w:r>
          </w:p>
        </w:tc>
        <w:tc>
          <w:tcPr>
            <w:tcW w:w="1843" w:type="dxa"/>
          </w:tcPr>
          <w:p w:rsidR="00C63240" w:rsidRPr="00C63240" w:rsidRDefault="00214CBC" w:rsidP="00C05AC6">
            <w:r>
              <w:t>17%</w:t>
            </w:r>
          </w:p>
        </w:tc>
        <w:tc>
          <w:tcPr>
            <w:tcW w:w="1843" w:type="dxa"/>
          </w:tcPr>
          <w:p w:rsidR="00C63240" w:rsidRPr="00C63240" w:rsidRDefault="00927AD5" w:rsidP="00C05AC6">
            <w:r>
              <w:t>8%</w:t>
            </w:r>
          </w:p>
        </w:tc>
      </w:tr>
      <w:tr w:rsidR="00C63240" w:rsidRPr="00C63240" w:rsidTr="00C63240">
        <w:tc>
          <w:tcPr>
            <w:tcW w:w="1842" w:type="dxa"/>
          </w:tcPr>
          <w:p w:rsidR="00C63240" w:rsidRPr="00C63240" w:rsidRDefault="00C63240" w:rsidP="00C05AC6">
            <w:r>
              <w:t>3</w:t>
            </w:r>
          </w:p>
        </w:tc>
        <w:tc>
          <w:tcPr>
            <w:tcW w:w="1842" w:type="dxa"/>
          </w:tcPr>
          <w:p w:rsidR="00C63240" w:rsidRPr="00C63240" w:rsidRDefault="00214CBC" w:rsidP="00C05AC6">
            <w:r>
              <w:t>19%</w:t>
            </w:r>
          </w:p>
        </w:tc>
        <w:tc>
          <w:tcPr>
            <w:tcW w:w="1842" w:type="dxa"/>
          </w:tcPr>
          <w:p w:rsidR="00C63240" w:rsidRPr="00C63240" w:rsidRDefault="00214CBC" w:rsidP="00C05AC6">
            <w:r>
              <w:t>16%</w:t>
            </w:r>
          </w:p>
        </w:tc>
        <w:tc>
          <w:tcPr>
            <w:tcW w:w="1843" w:type="dxa"/>
          </w:tcPr>
          <w:p w:rsidR="00C63240" w:rsidRPr="00C63240" w:rsidRDefault="00214CBC" w:rsidP="00C05AC6">
            <w:r>
              <w:t>6%</w:t>
            </w:r>
          </w:p>
        </w:tc>
        <w:tc>
          <w:tcPr>
            <w:tcW w:w="1843" w:type="dxa"/>
          </w:tcPr>
          <w:p w:rsidR="00C63240" w:rsidRPr="00C63240" w:rsidRDefault="00927AD5" w:rsidP="00C05AC6">
            <w:r>
              <w:t>3%</w:t>
            </w:r>
          </w:p>
        </w:tc>
      </w:tr>
      <w:tr w:rsidR="00C63240" w:rsidRPr="00C63240" w:rsidTr="00C63240">
        <w:tc>
          <w:tcPr>
            <w:tcW w:w="1842" w:type="dxa"/>
          </w:tcPr>
          <w:p w:rsidR="00C63240" w:rsidRPr="00C63240" w:rsidRDefault="00C63240" w:rsidP="00C05AC6">
            <w:r>
              <w:t>2</w:t>
            </w:r>
          </w:p>
        </w:tc>
        <w:tc>
          <w:tcPr>
            <w:tcW w:w="1842" w:type="dxa"/>
          </w:tcPr>
          <w:p w:rsidR="00C63240" w:rsidRPr="00C63240" w:rsidRDefault="00214CBC" w:rsidP="00C05AC6">
            <w:r>
              <w:t>11%</w:t>
            </w:r>
          </w:p>
        </w:tc>
        <w:tc>
          <w:tcPr>
            <w:tcW w:w="1842" w:type="dxa"/>
          </w:tcPr>
          <w:p w:rsidR="00C63240" w:rsidRPr="00C63240" w:rsidRDefault="00214CBC" w:rsidP="00C05AC6">
            <w:r>
              <w:t>7%</w:t>
            </w:r>
          </w:p>
        </w:tc>
        <w:tc>
          <w:tcPr>
            <w:tcW w:w="1843" w:type="dxa"/>
          </w:tcPr>
          <w:p w:rsidR="00C63240" w:rsidRPr="00C63240" w:rsidRDefault="00214CBC" w:rsidP="00C05AC6">
            <w:r>
              <w:t>9%</w:t>
            </w:r>
          </w:p>
        </w:tc>
        <w:tc>
          <w:tcPr>
            <w:tcW w:w="1843" w:type="dxa"/>
          </w:tcPr>
          <w:p w:rsidR="00C63240" w:rsidRPr="00C63240" w:rsidRDefault="00927AD5" w:rsidP="00C05AC6">
            <w:r>
              <w:t>3%</w:t>
            </w:r>
          </w:p>
        </w:tc>
      </w:tr>
      <w:tr w:rsidR="00C63240" w:rsidRPr="00C63240" w:rsidTr="00C63240">
        <w:tc>
          <w:tcPr>
            <w:tcW w:w="1842" w:type="dxa"/>
          </w:tcPr>
          <w:p w:rsidR="00C63240" w:rsidRPr="00C63240" w:rsidRDefault="00C63240" w:rsidP="00C05AC6">
            <w:r>
              <w:t>1</w:t>
            </w:r>
          </w:p>
        </w:tc>
        <w:tc>
          <w:tcPr>
            <w:tcW w:w="1842" w:type="dxa"/>
          </w:tcPr>
          <w:p w:rsidR="00C63240" w:rsidRPr="00C63240" w:rsidRDefault="00214CBC" w:rsidP="00C05AC6">
            <w:r>
              <w:t>33%</w:t>
            </w:r>
          </w:p>
        </w:tc>
        <w:tc>
          <w:tcPr>
            <w:tcW w:w="1842" w:type="dxa"/>
          </w:tcPr>
          <w:p w:rsidR="00C63240" w:rsidRPr="00C63240" w:rsidRDefault="00214CBC" w:rsidP="00214CBC">
            <w:r>
              <w:t>8%</w:t>
            </w:r>
          </w:p>
        </w:tc>
        <w:tc>
          <w:tcPr>
            <w:tcW w:w="1843" w:type="dxa"/>
          </w:tcPr>
          <w:p w:rsidR="00C63240" w:rsidRPr="00C63240" w:rsidRDefault="00214CBC" w:rsidP="00C05AC6">
            <w:r>
              <w:t>12%</w:t>
            </w:r>
          </w:p>
        </w:tc>
        <w:tc>
          <w:tcPr>
            <w:tcW w:w="1843" w:type="dxa"/>
          </w:tcPr>
          <w:p w:rsidR="00C63240" w:rsidRPr="00C63240" w:rsidRDefault="00927AD5" w:rsidP="00C05AC6">
            <w:r>
              <w:t>2%</w:t>
            </w:r>
          </w:p>
        </w:tc>
      </w:tr>
      <w:tr w:rsidR="00C63240" w:rsidRPr="00C63240" w:rsidTr="00C63240">
        <w:tc>
          <w:tcPr>
            <w:tcW w:w="1842" w:type="dxa"/>
          </w:tcPr>
          <w:p w:rsidR="00C63240" w:rsidRDefault="00C63240" w:rsidP="00C05AC6">
            <w:r>
              <w:t>0</w:t>
            </w:r>
          </w:p>
        </w:tc>
        <w:tc>
          <w:tcPr>
            <w:tcW w:w="1842" w:type="dxa"/>
          </w:tcPr>
          <w:p w:rsidR="00C63240" w:rsidRPr="00C63240" w:rsidRDefault="00214CBC" w:rsidP="00C05AC6">
            <w:r>
              <w:t>13%</w:t>
            </w:r>
          </w:p>
        </w:tc>
        <w:tc>
          <w:tcPr>
            <w:tcW w:w="1842" w:type="dxa"/>
          </w:tcPr>
          <w:p w:rsidR="00C63240" w:rsidRPr="00C63240" w:rsidRDefault="00214CBC" w:rsidP="00C05AC6">
            <w:r>
              <w:t>5%</w:t>
            </w:r>
          </w:p>
        </w:tc>
        <w:tc>
          <w:tcPr>
            <w:tcW w:w="1843" w:type="dxa"/>
          </w:tcPr>
          <w:p w:rsidR="00C63240" w:rsidRPr="00C63240" w:rsidRDefault="00214CBC" w:rsidP="00C05AC6">
            <w:r>
              <w:t>9%</w:t>
            </w:r>
          </w:p>
        </w:tc>
        <w:tc>
          <w:tcPr>
            <w:tcW w:w="1843" w:type="dxa"/>
          </w:tcPr>
          <w:p w:rsidR="00C63240" w:rsidRPr="00C63240" w:rsidRDefault="00927AD5" w:rsidP="00C05AC6">
            <w:r>
              <w:t>0%</w:t>
            </w:r>
          </w:p>
        </w:tc>
      </w:tr>
    </w:tbl>
    <w:p w:rsidR="00C63240" w:rsidRDefault="00A37B60" w:rsidP="00C05AC6">
      <w:pPr>
        <w:rPr>
          <w:b/>
        </w:rPr>
      </w:pPr>
      <w:r>
        <w:rPr>
          <w:b/>
        </w:rPr>
        <w:lastRenderedPageBreak/>
        <w:t>Conclusies over de % per norm en het totaalbeeld</w:t>
      </w:r>
    </w:p>
    <w:p w:rsidR="00A37B60" w:rsidRDefault="00A37B60" w:rsidP="00C05AC6">
      <w:r>
        <w:t xml:space="preserve">De eerste vier normen (beveiligingsplan actueel </w:t>
      </w:r>
      <w:proofErr w:type="spellStart"/>
      <w:r>
        <w:t>geevalueerd</w:t>
      </w:r>
      <w:proofErr w:type="spellEnd"/>
      <w:r>
        <w:t>, geformaliseerd, en uitgedragen en ook de norm functiescheiding) laten een positief beeld zien: de percentages in zowel de inspectie-onderzoeken als in de ledenpeiling laten in absolute zin een flinke sti</w:t>
      </w:r>
      <w:r w:rsidR="00A502EA">
        <w:t xml:space="preserve">jging zien. Het verschil tussen het percentage waargenomen door de Inspectie respectievelijk de VNG is bij de tweede meting niet groter geworden dan het was bij de eerste meting. </w:t>
      </w:r>
    </w:p>
    <w:p w:rsidR="00A37B60" w:rsidRDefault="00A37B60" w:rsidP="00C05AC6"/>
    <w:p w:rsidR="00A37B60" w:rsidRDefault="00A37B60" w:rsidP="00C05AC6">
      <w:r>
        <w:t xml:space="preserve">Bij de normen ten aanzien van de </w:t>
      </w:r>
      <w:r w:rsidR="00A502EA">
        <w:t xml:space="preserve">security </w:t>
      </w:r>
      <w:proofErr w:type="spellStart"/>
      <w:r w:rsidR="00A502EA">
        <w:t>officer</w:t>
      </w:r>
      <w:proofErr w:type="spellEnd"/>
      <w:r w:rsidR="00A502EA">
        <w:t xml:space="preserve">, de </w:t>
      </w:r>
      <w:r>
        <w:t>autorisatieprocedure en de controle op toegang en ge</w:t>
      </w:r>
      <w:r w:rsidR="00763DE5">
        <w:t>bruik ontstaat een ander beeld.</w:t>
      </w:r>
      <w:r w:rsidR="007D5E93">
        <w:t xml:space="preserve"> De verschillen in beleving tussen de SZW Inspectie en gemeenten zelf is vrij groot, er zit 30-</w:t>
      </w:r>
      <w:r w:rsidR="00A502EA">
        <w:t>40</w:t>
      </w:r>
      <w:r w:rsidR="007D5E93">
        <w:t xml:space="preserve">% verschil in de score waargenomen door de inspectie enerzijds en gemeenten zelf anderzijds. Ook liggen de scores in absolute zin </w:t>
      </w:r>
      <w:r w:rsidR="00A502EA">
        <w:t xml:space="preserve">over het algemeen </w:t>
      </w:r>
      <w:r w:rsidR="007D5E93">
        <w:t xml:space="preserve">minder hoog. Tegelijk is ook hier in zowel in het onderzoek van de Inspectie SZW als dat van gemeenten zelf een </w:t>
      </w:r>
      <w:r w:rsidR="00E50364">
        <w:t xml:space="preserve"> </w:t>
      </w:r>
      <w:r w:rsidR="007D5E93">
        <w:t>significante verbetering waarneembaar ten opzichte van het eerder inspectieonderzoek en de eerdere ledenpeiling. Het leert de VNG in ieder geval dat inzet op het verbeteren van deze norm</w:t>
      </w:r>
      <w:r w:rsidR="00A502EA">
        <w:t>en</w:t>
      </w:r>
      <w:r w:rsidR="007D5E93">
        <w:t xml:space="preserve"> en de beleving van gemeenten daarbij een belangrijke prioriteit zal zijn en blijven de komende periode. </w:t>
      </w:r>
    </w:p>
    <w:p w:rsidR="00763DE5" w:rsidRDefault="00763DE5" w:rsidP="00C05AC6"/>
    <w:p w:rsidR="00A37B60" w:rsidRPr="00A37B60" w:rsidRDefault="00763DE5" w:rsidP="00C05AC6">
      <w:r>
        <w:t>Het effect van het hierboven beschreven verschillende beeld</w:t>
      </w:r>
      <w:r w:rsidR="007D5E93">
        <w:t>en</w:t>
      </w:r>
      <w:r>
        <w:t xml:space="preserve"> is dat de totaalscore van de normen in de beleving van gemeenten sneller optelt tot een hoger resultaat dan in de beleving van de SZW Inspectie. Toch is ook hier een overeenkomst te vinden,  het totaalbeeld ontwikkelt zich bij zowel de SZW Inspectie als in de zelftesten de goede kant op. De uitkomsten op 0, 1, 2 en 3 normen is bij het inspectieonderzoek lager dan in 2013, terwijl de uitkomsten 4, 5, 6 en 7 normen hoger liggen. Bij de </w:t>
      </w:r>
      <w:proofErr w:type="spellStart"/>
      <w:r>
        <w:t>zelftest</w:t>
      </w:r>
      <w:proofErr w:type="spellEnd"/>
      <w:r>
        <w:t xml:space="preserve"> ligt die grens anders, de uitkomsten van 6 en 7 normen zijn gestegen en 0, 1, 2 ,3 ,4 en 5 normen zijn gedaald. </w:t>
      </w:r>
    </w:p>
    <w:p w:rsidR="00A37B60" w:rsidRDefault="00A37B60" w:rsidP="00C05AC6">
      <w:pPr>
        <w:rPr>
          <w:b/>
        </w:rPr>
      </w:pPr>
    </w:p>
    <w:p w:rsidR="00C63240" w:rsidRDefault="00214CBC" w:rsidP="00C05AC6">
      <w:pPr>
        <w:rPr>
          <w:b/>
        </w:rPr>
      </w:pPr>
      <w:r>
        <w:rPr>
          <w:b/>
        </w:rPr>
        <w:t>De gemeenteraad</w:t>
      </w:r>
    </w:p>
    <w:p w:rsidR="00214CBC" w:rsidRDefault="00B10382" w:rsidP="00C05AC6">
      <w:r>
        <w:t xml:space="preserve">Net als vorig jaar is aan de gemeenten gevraagd of zij de uitkomsten van de </w:t>
      </w:r>
      <w:proofErr w:type="spellStart"/>
      <w:r>
        <w:t>zelftest</w:t>
      </w:r>
      <w:proofErr w:type="spellEnd"/>
      <w:r>
        <w:t xml:space="preserve"> c.q. het lokale verbeterplan zullen gaan bespreken met de gemeenteraad en zo ja, op welke termijn. Daar kwam het volgende beeld uit naar voren. In de onderstaande tabel is de vergelijking gemaakt met de vorige ledenpeiling.</w:t>
      </w:r>
    </w:p>
    <w:p w:rsidR="00EF3F1E" w:rsidRDefault="00EF3F1E" w:rsidP="00C05AC6"/>
    <w:tbl>
      <w:tblPr>
        <w:tblStyle w:val="Tabelraster"/>
        <w:tblW w:w="0" w:type="auto"/>
        <w:tblLook w:val="04A0" w:firstRow="1" w:lastRow="0" w:firstColumn="1" w:lastColumn="0" w:noHBand="0" w:noVBand="1"/>
      </w:tblPr>
      <w:tblGrid>
        <w:gridCol w:w="3070"/>
        <w:gridCol w:w="3071"/>
        <w:gridCol w:w="3071"/>
      </w:tblGrid>
      <w:tr w:rsidR="00EF3F1E" w:rsidRPr="00EF3F1E" w:rsidTr="00EF3F1E">
        <w:tc>
          <w:tcPr>
            <w:tcW w:w="3070" w:type="dxa"/>
          </w:tcPr>
          <w:p w:rsidR="00EF3F1E" w:rsidRPr="00EF3F1E" w:rsidRDefault="00EF3F1E" w:rsidP="00C05AC6">
            <w:pPr>
              <w:rPr>
                <w:b/>
              </w:rPr>
            </w:pPr>
            <w:r w:rsidRPr="00EF3F1E">
              <w:rPr>
                <w:b/>
              </w:rPr>
              <w:t>Bespreken en zo ja, wanneer</w:t>
            </w:r>
          </w:p>
        </w:tc>
        <w:tc>
          <w:tcPr>
            <w:tcW w:w="3071" w:type="dxa"/>
          </w:tcPr>
          <w:p w:rsidR="00EF3F1E" w:rsidRPr="00EF3F1E" w:rsidRDefault="00EF3F1E" w:rsidP="00C05AC6">
            <w:pPr>
              <w:rPr>
                <w:b/>
              </w:rPr>
            </w:pPr>
            <w:r w:rsidRPr="00EF3F1E">
              <w:rPr>
                <w:b/>
              </w:rPr>
              <w:t>Ledenpeiling 2014</w:t>
            </w:r>
          </w:p>
        </w:tc>
        <w:tc>
          <w:tcPr>
            <w:tcW w:w="3071" w:type="dxa"/>
          </w:tcPr>
          <w:p w:rsidR="00EF3F1E" w:rsidRPr="00EF3F1E" w:rsidRDefault="00EF3F1E" w:rsidP="00C05AC6">
            <w:pPr>
              <w:rPr>
                <w:b/>
              </w:rPr>
            </w:pPr>
            <w:r w:rsidRPr="00EF3F1E">
              <w:rPr>
                <w:b/>
              </w:rPr>
              <w:t>Ledenpeiling 2015</w:t>
            </w:r>
          </w:p>
        </w:tc>
      </w:tr>
      <w:tr w:rsidR="00EF3F1E" w:rsidTr="00EF3F1E">
        <w:tc>
          <w:tcPr>
            <w:tcW w:w="3070" w:type="dxa"/>
          </w:tcPr>
          <w:p w:rsidR="00EF3F1E" w:rsidRDefault="00EF3F1E" w:rsidP="00EF3F1E">
            <w:r>
              <w:t>Bespreken &lt; twee maanden</w:t>
            </w:r>
          </w:p>
        </w:tc>
        <w:tc>
          <w:tcPr>
            <w:tcW w:w="3071" w:type="dxa"/>
          </w:tcPr>
          <w:p w:rsidR="00EF3F1E" w:rsidRDefault="00EF3F1E" w:rsidP="00C05AC6">
            <w:r>
              <w:t>18%</w:t>
            </w:r>
          </w:p>
        </w:tc>
        <w:tc>
          <w:tcPr>
            <w:tcW w:w="3071" w:type="dxa"/>
          </w:tcPr>
          <w:p w:rsidR="00EF3F1E" w:rsidRDefault="00D41CE3" w:rsidP="00C05AC6">
            <w:r>
              <w:t>16%</w:t>
            </w:r>
          </w:p>
        </w:tc>
      </w:tr>
      <w:tr w:rsidR="00EF3F1E" w:rsidTr="00EF3F1E">
        <w:tc>
          <w:tcPr>
            <w:tcW w:w="3070" w:type="dxa"/>
          </w:tcPr>
          <w:p w:rsidR="00EF3F1E" w:rsidRDefault="00EF3F1E" w:rsidP="00C05AC6">
            <w:r>
              <w:t>Bespreken 2-6 maanden</w:t>
            </w:r>
          </w:p>
        </w:tc>
        <w:tc>
          <w:tcPr>
            <w:tcW w:w="3071" w:type="dxa"/>
          </w:tcPr>
          <w:p w:rsidR="00EF3F1E" w:rsidRDefault="00EF3F1E" w:rsidP="00C05AC6">
            <w:r>
              <w:t>32%</w:t>
            </w:r>
          </w:p>
        </w:tc>
        <w:tc>
          <w:tcPr>
            <w:tcW w:w="3071" w:type="dxa"/>
          </w:tcPr>
          <w:p w:rsidR="00EF3F1E" w:rsidRDefault="00D41CE3" w:rsidP="00C05AC6">
            <w:r>
              <w:t>26%</w:t>
            </w:r>
          </w:p>
        </w:tc>
      </w:tr>
      <w:tr w:rsidR="00EF3F1E" w:rsidTr="00EF3F1E">
        <w:tc>
          <w:tcPr>
            <w:tcW w:w="3070" w:type="dxa"/>
          </w:tcPr>
          <w:p w:rsidR="00EF3F1E" w:rsidRDefault="00EF3F1E" w:rsidP="00C05AC6">
            <w:r>
              <w:t>Bespreken &gt; 6 maanden</w:t>
            </w:r>
          </w:p>
        </w:tc>
        <w:tc>
          <w:tcPr>
            <w:tcW w:w="3071" w:type="dxa"/>
          </w:tcPr>
          <w:p w:rsidR="00EF3F1E" w:rsidRDefault="00EF3F1E" w:rsidP="00C05AC6">
            <w:r>
              <w:t>11%</w:t>
            </w:r>
          </w:p>
        </w:tc>
        <w:tc>
          <w:tcPr>
            <w:tcW w:w="3071" w:type="dxa"/>
          </w:tcPr>
          <w:p w:rsidR="00EF3F1E" w:rsidRDefault="00D41CE3" w:rsidP="00C05AC6">
            <w:r>
              <w:t>9%</w:t>
            </w:r>
          </w:p>
        </w:tc>
      </w:tr>
      <w:tr w:rsidR="00EF3F1E" w:rsidTr="00EF3F1E">
        <w:tc>
          <w:tcPr>
            <w:tcW w:w="3070" w:type="dxa"/>
          </w:tcPr>
          <w:p w:rsidR="00EF3F1E" w:rsidRDefault="00EF3F1E" w:rsidP="00C05AC6">
            <w:r>
              <w:t>Bespreken het niet met de raad</w:t>
            </w:r>
          </w:p>
        </w:tc>
        <w:tc>
          <w:tcPr>
            <w:tcW w:w="3071" w:type="dxa"/>
          </w:tcPr>
          <w:p w:rsidR="00EF3F1E" w:rsidRDefault="00EF3F1E" w:rsidP="00C05AC6">
            <w:r>
              <w:t>6%</w:t>
            </w:r>
          </w:p>
        </w:tc>
        <w:tc>
          <w:tcPr>
            <w:tcW w:w="3071" w:type="dxa"/>
          </w:tcPr>
          <w:p w:rsidR="00EF3F1E" w:rsidRDefault="00D41CE3" w:rsidP="00C05AC6">
            <w:r>
              <w:t>7%</w:t>
            </w:r>
          </w:p>
        </w:tc>
      </w:tr>
      <w:tr w:rsidR="00EF3F1E" w:rsidTr="00EF3F1E">
        <w:tc>
          <w:tcPr>
            <w:tcW w:w="3070" w:type="dxa"/>
          </w:tcPr>
          <w:p w:rsidR="00EF3F1E" w:rsidRDefault="00EF3F1E" w:rsidP="00C05AC6">
            <w:r>
              <w:t>Anders, namelijk….</w:t>
            </w:r>
          </w:p>
        </w:tc>
        <w:tc>
          <w:tcPr>
            <w:tcW w:w="3071" w:type="dxa"/>
          </w:tcPr>
          <w:p w:rsidR="00EF3F1E" w:rsidRDefault="00EF3F1E" w:rsidP="00C05AC6">
            <w:r>
              <w:t>27%</w:t>
            </w:r>
          </w:p>
        </w:tc>
        <w:tc>
          <w:tcPr>
            <w:tcW w:w="3071" w:type="dxa"/>
          </w:tcPr>
          <w:p w:rsidR="00EF3F1E" w:rsidRDefault="00D41CE3" w:rsidP="00C05AC6">
            <w:r>
              <w:t>40%</w:t>
            </w:r>
          </w:p>
        </w:tc>
      </w:tr>
      <w:tr w:rsidR="00EF3F1E" w:rsidTr="00EF3F1E">
        <w:tc>
          <w:tcPr>
            <w:tcW w:w="3070" w:type="dxa"/>
          </w:tcPr>
          <w:p w:rsidR="00EF3F1E" w:rsidRDefault="00EF3F1E" w:rsidP="00C05AC6">
            <w:r>
              <w:t>Geen antwoord</w:t>
            </w:r>
          </w:p>
        </w:tc>
        <w:tc>
          <w:tcPr>
            <w:tcW w:w="3071" w:type="dxa"/>
          </w:tcPr>
          <w:p w:rsidR="00EF3F1E" w:rsidRDefault="00EF3F1E" w:rsidP="00C05AC6">
            <w:r>
              <w:t>7%</w:t>
            </w:r>
          </w:p>
        </w:tc>
        <w:tc>
          <w:tcPr>
            <w:tcW w:w="3071" w:type="dxa"/>
          </w:tcPr>
          <w:p w:rsidR="00EF3F1E" w:rsidRDefault="00D41CE3" w:rsidP="00C05AC6">
            <w:r>
              <w:t>3%</w:t>
            </w:r>
          </w:p>
        </w:tc>
      </w:tr>
      <w:tr w:rsidR="00EF3F1E" w:rsidTr="00EF3F1E">
        <w:tc>
          <w:tcPr>
            <w:tcW w:w="3070" w:type="dxa"/>
          </w:tcPr>
          <w:p w:rsidR="00EF3F1E" w:rsidRDefault="00EF3F1E" w:rsidP="00C05AC6"/>
        </w:tc>
        <w:tc>
          <w:tcPr>
            <w:tcW w:w="3071" w:type="dxa"/>
          </w:tcPr>
          <w:p w:rsidR="00EF3F1E" w:rsidRDefault="00EF3F1E" w:rsidP="00C05AC6"/>
        </w:tc>
        <w:tc>
          <w:tcPr>
            <w:tcW w:w="3071" w:type="dxa"/>
          </w:tcPr>
          <w:p w:rsidR="00EF3F1E" w:rsidRDefault="00EF3F1E" w:rsidP="00C05AC6"/>
        </w:tc>
      </w:tr>
      <w:tr w:rsidR="00EF3F1E" w:rsidTr="00EF3F1E">
        <w:tc>
          <w:tcPr>
            <w:tcW w:w="3070" w:type="dxa"/>
          </w:tcPr>
          <w:p w:rsidR="00EF3F1E" w:rsidRDefault="00EF3F1E" w:rsidP="00C05AC6">
            <w:r>
              <w:t>Totaal</w:t>
            </w:r>
          </w:p>
        </w:tc>
        <w:tc>
          <w:tcPr>
            <w:tcW w:w="3071" w:type="dxa"/>
          </w:tcPr>
          <w:p w:rsidR="00EF3F1E" w:rsidRDefault="00EF3F1E" w:rsidP="00D41CE3">
            <w:r>
              <w:t>101% (afrondingsverschil)</w:t>
            </w:r>
          </w:p>
        </w:tc>
        <w:tc>
          <w:tcPr>
            <w:tcW w:w="3071" w:type="dxa"/>
          </w:tcPr>
          <w:p w:rsidR="00EF3F1E" w:rsidRDefault="00D41CE3" w:rsidP="00C05AC6">
            <w:r>
              <w:t>101% (afrondingsverschil)</w:t>
            </w:r>
          </w:p>
        </w:tc>
      </w:tr>
    </w:tbl>
    <w:p w:rsidR="00EE21D8" w:rsidRDefault="00EE21D8" w:rsidP="00C05AC6">
      <w:pPr>
        <w:rPr>
          <w:b/>
        </w:rPr>
      </w:pPr>
    </w:p>
    <w:p w:rsidR="00D41CE3" w:rsidRPr="00D41CE3" w:rsidRDefault="00D41CE3" w:rsidP="00C05AC6">
      <w:r>
        <w:t>Relatief veel gemeenten hebben ook bij de ledenpeiling 2015 beantwoord met ‘Anders, namelijk..’. Ze hebben dit antwoord toegelicht</w:t>
      </w:r>
      <w:r w:rsidR="009616D9">
        <w:t xml:space="preserve"> langs een van de volgende lijnen</w:t>
      </w:r>
      <w:r>
        <w:t>:</w:t>
      </w:r>
    </w:p>
    <w:p w:rsidR="009616D9" w:rsidRPr="009616D9" w:rsidRDefault="009616D9" w:rsidP="009616D9">
      <w:pPr>
        <w:pStyle w:val="Lijstalinea"/>
        <w:numPr>
          <w:ilvl w:val="0"/>
          <w:numId w:val="1"/>
        </w:numPr>
        <w:rPr>
          <w:b/>
        </w:rPr>
      </w:pPr>
      <w:r>
        <w:t>Nee, want het wordt voorgelegd aan management en directie (de meest voorkomende reactie)</w:t>
      </w:r>
    </w:p>
    <w:p w:rsidR="009616D9" w:rsidRPr="009616D9" w:rsidRDefault="009616D9" w:rsidP="009616D9">
      <w:pPr>
        <w:pStyle w:val="Lijstalinea"/>
        <w:numPr>
          <w:ilvl w:val="0"/>
          <w:numId w:val="1"/>
        </w:numPr>
        <w:rPr>
          <w:b/>
        </w:rPr>
      </w:pPr>
      <w:r>
        <w:t xml:space="preserve">Nee, de raad is recentelijk al </w:t>
      </w:r>
      <w:proofErr w:type="spellStart"/>
      <w:r>
        <w:t>geinformeerd</w:t>
      </w:r>
      <w:proofErr w:type="spellEnd"/>
    </w:p>
    <w:p w:rsidR="009616D9" w:rsidRPr="009616D9" w:rsidRDefault="009616D9" w:rsidP="009616D9">
      <w:pPr>
        <w:pStyle w:val="Lijstalinea"/>
        <w:numPr>
          <w:ilvl w:val="0"/>
          <w:numId w:val="1"/>
        </w:numPr>
        <w:rPr>
          <w:b/>
        </w:rPr>
      </w:pPr>
      <w:r>
        <w:t>Nee want de precieze implicaties moeten nog duidelijk worden</w:t>
      </w:r>
    </w:p>
    <w:p w:rsidR="009616D9" w:rsidRPr="009616D9" w:rsidRDefault="009616D9" w:rsidP="009616D9">
      <w:pPr>
        <w:pStyle w:val="Lijstalinea"/>
        <w:numPr>
          <w:ilvl w:val="0"/>
          <w:numId w:val="1"/>
        </w:numPr>
        <w:rPr>
          <w:b/>
        </w:rPr>
      </w:pPr>
      <w:r>
        <w:lastRenderedPageBreak/>
        <w:t>Nee, want we voldoen aan alle normen</w:t>
      </w:r>
    </w:p>
    <w:p w:rsidR="009616D9" w:rsidRDefault="009616D9" w:rsidP="00C05AC6">
      <w:pPr>
        <w:rPr>
          <w:b/>
        </w:rPr>
      </w:pPr>
    </w:p>
    <w:p w:rsidR="00214CBC" w:rsidRDefault="00214CBC" w:rsidP="00C05AC6">
      <w:pPr>
        <w:rPr>
          <w:b/>
        </w:rPr>
      </w:pPr>
      <w:r>
        <w:rPr>
          <w:b/>
        </w:rPr>
        <w:t>Het vrije veld</w:t>
      </w:r>
    </w:p>
    <w:p w:rsidR="009616D9" w:rsidRDefault="009616D9" w:rsidP="00C05AC6">
      <w:r>
        <w:t xml:space="preserve">Het vrije veld is voornamelijk gebruikt om de categorie ‘Anders, namelijk…’ toe te lichten (zie hierboven). Het valt daarbij op dat ongeveer de helft van de gemeenten aangeeft de raad te informeren. Bijna de helft geen aan dit niet te doen. </w:t>
      </w:r>
    </w:p>
    <w:p w:rsidR="009616D9" w:rsidRDefault="009616D9" w:rsidP="00C05AC6"/>
    <w:p w:rsidR="009616D9" w:rsidRPr="009616D9" w:rsidRDefault="009616D9" w:rsidP="00C05AC6">
      <w:pPr>
        <w:rPr>
          <w:b/>
        </w:rPr>
      </w:pPr>
      <w:r w:rsidRPr="009616D9">
        <w:rPr>
          <w:b/>
        </w:rPr>
        <w:t>Aandachtspunten vorige ledenpeiling</w:t>
      </w:r>
    </w:p>
    <w:p w:rsidR="009616D9" w:rsidRDefault="009616D9" w:rsidP="00C05AC6">
      <w:r>
        <w:t xml:space="preserve">De twee aandachtspunten die vorig jaar in de notitie over de ledenpeiling zijn beschreven, </w:t>
      </w:r>
      <w:r w:rsidR="007712B4">
        <w:t xml:space="preserve">komen dit jaar in het vrije veld minder vaak terug. Ze </w:t>
      </w:r>
      <w:r>
        <w:t>blijven onverminderd aan de orde</w:t>
      </w:r>
      <w:r w:rsidR="007712B4">
        <w:t xml:space="preserve">. Dit omdat uit vragen en telefonische gesprekken naar aanleiding van de </w:t>
      </w:r>
      <w:proofErr w:type="spellStart"/>
      <w:r w:rsidR="007712B4">
        <w:t>zelftest</w:t>
      </w:r>
      <w:proofErr w:type="spellEnd"/>
      <w:r w:rsidR="007712B4">
        <w:t xml:space="preserve"> blijkt dat gemeenten er nog veel vragen over hebben. Het gaat om</w:t>
      </w:r>
      <w:r>
        <w:t>:</w:t>
      </w:r>
    </w:p>
    <w:p w:rsidR="007712B4" w:rsidRDefault="007712B4" w:rsidP="009616D9">
      <w:pPr>
        <w:pStyle w:val="Lijstalinea"/>
        <w:numPr>
          <w:ilvl w:val="0"/>
          <w:numId w:val="2"/>
        </w:numPr>
      </w:pPr>
      <w:r>
        <w:t xml:space="preserve">De extra complexiteiten waar ISD-en mee te maken hebben (afstemming gemeenten en GR, verschillende benaderingen van deelnemende gemeenten, wettelijke verantwoordelijkheid blijft bij gemeente, koppeling tussen generiek en specifiek informatiebeveiligingsbeleid complex bij taakgerichte ISD). </w:t>
      </w:r>
    </w:p>
    <w:p w:rsidR="009616D9" w:rsidRPr="009616D9" w:rsidRDefault="007712B4" w:rsidP="009616D9">
      <w:pPr>
        <w:pStyle w:val="Lijstalinea"/>
        <w:numPr>
          <w:ilvl w:val="0"/>
          <w:numId w:val="2"/>
        </w:numPr>
      </w:pPr>
      <w:r>
        <w:t xml:space="preserve">Koppeling tussen generiek en specifiek informatiebeveiligingsbeleid. Hierop hebben het afgelopen jaar voorlichtingsbijeenkomsten op plaatsgevonden en is door de </w:t>
      </w:r>
      <w:r w:rsidR="009F5E22">
        <w:t>Informatiebeveiligingsdienst (</w:t>
      </w:r>
      <w:r>
        <w:t>IBD</w:t>
      </w:r>
      <w:r w:rsidR="009F5E22">
        <w:t>)</w:t>
      </w:r>
      <w:r>
        <w:t xml:space="preserve"> een tool ontwikkeld waarin de </w:t>
      </w:r>
      <w:proofErr w:type="spellStart"/>
      <w:r>
        <w:t>Suwi</w:t>
      </w:r>
      <w:proofErr w:type="spellEnd"/>
      <w:r>
        <w:t>-normen zijn gekoppeld aan dezelfde normen in de BIG</w:t>
      </w:r>
      <w:r w:rsidR="009F5E22">
        <w:t xml:space="preserve"> en per norm aangegeven welke verbetertool de IBD ervoor ter beschikking stelt. </w:t>
      </w:r>
      <w:r>
        <w:t xml:space="preserve"> </w:t>
      </w:r>
    </w:p>
    <w:sectPr w:rsidR="009616D9" w:rsidRPr="009616D9" w:rsidSect="00D32C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AF" w:rsidRDefault="008E5FAF" w:rsidP="00E41D28">
      <w:pPr>
        <w:spacing w:line="240" w:lineRule="auto"/>
      </w:pPr>
      <w:r>
        <w:separator/>
      </w:r>
    </w:p>
  </w:endnote>
  <w:endnote w:type="continuationSeparator" w:id="0">
    <w:p w:rsidR="008E5FAF" w:rsidRDefault="008E5FAF" w:rsidP="00E41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28" w:rsidRDefault="00E14F7A" w:rsidP="00E14F7A">
    <w:pPr>
      <w:tabs>
        <w:tab w:val="center" w:pos="4536"/>
        <w:tab w:val="right" w:pos="9072"/>
      </w:tabs>
    </w:pPr>
    <w:r w:rsidRPr="001D243E">
      <w:rPr>
        <w:iCs w:val="0"/>
        <w:sz w:val="14"/>
        <w:szCs w:val="14"/>
      </w:rPr>
      <w:t xml:space="preserve">VNG Postbus 30435, 2500 GK Den Haag Tel 070-373 83 93 </w:t>
    </w:r>
    <w:hyperlink r:id="rId1" w:history="1">
      <w:r w:rsidRPr="001D243E">
        <w:rPr>
          <w:iCs w:val="0"/>
          <w:color w:val="0000FF"/>
          <w:sz w:val="14"/>
          <w:szCs w:val="14"/>
          <w:u w:val="single"/>
        </w:rPr>
        <w:t>www.vng.nl</w:t>
      </w:r>
    </w:hyperlink>
    <w:r w:rsidRPr="001D243E">
      <w:rPr>
        <w:iCs w:val="0"/>
        <w:sz w:val="14"/>
        <w:szCs w:val="14"/>
      </w:rPr>
      <w:t xml:space="preserve"> </w:t>
    </w:r>
    <w:r w:rsidRPr="001D243E">
      <w:rPr>
        <w:iCs w:val="0"/>
        <w:sz w:val="14"/>
        <w:szCs w:val="14"/>
      </w:rPr>
      <w:tab/>
    </w:r>
    <w:r w:rsidRPr="001D243E">
      <w:rPr>
        <w:iCs w:val="0"/>
      </w:rPr>
      <w:fldChar w:fldCharType="begin"/>
    </w:r>
    <w:r w:rsidRPr="001D243E">
      <w:rPr>
        <w:iCs w:val="0"/>
      </w:rPr>
      <w:instrText>PAGE   \* MERGEFORMAT</w:instrText>
    </w:r>
    <w:r w:rsidRPr="001D243E">
      <w:rPr>
        <w:iCs w:val="0"/>
      </w:rPr>
      <w:fldChar w:fldCharType="separate"/>
    </w:r>
    <w:r w:rsidR="009F5E22">
      <w:rPr>
        <w:iCs w:val="0"/>
        <w:noProof/>
      </w:rPr>
      <w:t>1</w:t>
    </w:r>
    <w:r w:rsidRPr="001D243E">
      <w:rPr>
        <w:i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AF" w:rsidRDefault="008E5FAF" w:rsidP="00E41D28">
      <w:pPr>
        <w:spacing w:line="240" w:lineRule="auto"/>
      </w:pPr>
      <w:r>
        <w:separator/>
      </w:r>
    </w:p>
  </w:footnote>
  <w:footnote w:type="continuationSeparator" w:id="0">
    <w:p w:rsidR="008E5FAF" w:rsidRDefault="008E5FAF" w:rsidP="00E41D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0954"/>
    <w:multiLevelType w:val="hybridMultilevel"/>
    <w:tmpl w:val="F96EA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9E179F"/>
    <w:multiLevelType w:val="hybridMultilevel"/>
    <w:tmpl w:val="CB82F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BD"/>
    <w:rsid w:val="00042225"/>
    <w:rsid w:val="00055D11"/>
    <w:rsid w:val="00091ABE"/>
    <w:rsid w:val="000C30AD"/>
    <w:rsid w:val="000D3360"/>
    <w:rsid w:val="000D43D6"/>
    <w:rsid w:val="000F4D94"/>
    <w:rsid w:val="0018351E"/>
    <w:rsid w:val="001B2C86"/>
    <w:rsid w:val="001F4145"/>
    <w:rsid w:val="00214CBC"/>
    <w:rsid w:val="00243969"/>
    <w:rsid w:val="0027017F"/>
    <w:rsid w:val="00296093"/>
    <w:rsid w:val="002A1A11"/>
    <w:rsid w:val="002A2C74"/>
    <w:rsid w:val="002F760F"/>
    <w:rsid w:val="0036658C"/>
    <w:rsid w:val="0038414B"/>
    <w:rsid w:val="00433F80"/>
    <w:rsid w:val="0045429C"/>
    <w:rsid w:val="00462DE1"/>
    <w:rsid w:val="00483D3C"/>
    <w:rsid w:val="005153DA"/>
    <w:rsid w:val="00562C2F"/>
    <w:rsid w:val="00587D2B"/>
    <w:rsid w:val="005A0F91"/>
    <w:rsid w:val="00603A8F"/>
    <w:rsid w:val="006218B3"/>
    <w:rsid w:val="00654B64"/>
    <w:rsid w:val="006931AA"/>
    <w:rsid w:val="0070066A"/>
    <w:rsid w:val="00751B77"/>
    <w:rsid w:val="00763DE5"/>
    <w:rsid w:val="00764756"/>
    <w:rsid w:val="007657C1"/>
    <w:rsid w:val="007712B4"/>
    <w:rsid w:val="00795AF8"/>
    <w:rsid w:val="007A0514"/>
    <w:rsid w:val="007B12FA"/>
    <w:rsid w:val="007C22B0"/>
    <w:rsid w:val="007D5E93"/>
    <w:rsid w:val="007F58DC"/>
    <w:rsid w:val="00884A30"/>
    <w:rsid w:val="008E5FAF"/>
    <w:rsid w:val="008F73F8"/>
    <w:rsid w:val="00927AD5"/>
    <w:rsid w:val="00935671"/>
    <w:rsid w:val="009616D9"/>
    <w:rsid w:val="009F5E22"/>
    <w:rsid w:val="00A04602"/>
    <w:rsid w:val="00A34245"/>
    <w:rsid w:val="00A351D4"/>
    <w:rsid w:val="00A37B60"/>
    <w:rsid w:val="00A502EA"/>
    <w:rsid w:val="00A50FA4"/>
    <w:rsid w:val="00A5430C"/>
    <w:rsid w:val="00B10382"/>
    <w:rsid w:val="00B16704"/>
    <w:rsid w:val="00B3788B"/>
    <w:rsid w:val="00B62F2D"/>
    <w:rsid w:val="00B63679"/>
    <w:rsid w:val="00BA3BD1"/>
    <w:rsid w:val="00BC5A3D"/>
    <w:rsid w:val="00C05AC6"/>
    <w:rsid w:val="00C63240"/>
    <w:rsid w:val="00C9344B"/>
    <w:rsid w:val="00CD50B1"/>
    <w:rsid w:val="00D25A71"/>
    <w:rsid w:val="00D32CBA"/>
    <w:rsid w:val="00D41CE3"/>
    <w:rsid w:val="00D86688"/>
    <w:rsid w:val="00DF27A1"/>
    <w:rsid w:val="00E14F7A"/>
    <w:rsid w:val="00E41D28"/>
    <w:rsid w:val="00E50364"/>
    <w:rsid w:val="00E52D81"/>
    <w:rsid w:val="00E53374"/>
    <w:rsid w:val="00E55C39"/>
    <w:rsid w:val="00E570EF"/>
    <w:rsid w:val="00EA56EF"/>
    <w:rsid w:val="00EA5A55"/>
    <w:rsid w:val="00EB5FBD"/>
    <w:rsid w:val="00EE21D8"/>
    <w:rsid w:val="00EF3F1E"/>
    <w:rsid w:val="00F04EE8"/>
    <w:rsid w:val="00F151F7"/>
    <w:rsid w:val="00FA2EB1"/>
    <w:rsid w:val="00FB7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3969"/>
    <w:pPr>
      <w:spacing w:line="312" w:lineRule="auto"/>
    </w:pPr>
    <w:rPr>
      <w:iCs/>
      <w:szCs w:val="24"/>
    </w:rPr>
  </w:style>
  <w:style w:type="paragraph" w:styleId="Kop1">
    <w:name w:val="heading 1"/>
    <w:basedOn w:val="Standaard"/>
    <w:next w:val="Standaard"/>
    <w:link w:val="Kop1Char"/>
    <w:qFormat/>
    <w:rsid w:val="00243969"/>
    <w:pPr>
      <w:keepNext/>
      <w:keepLines/>
      <w:spacing w:before="120" w:after="120"/>
      <w:outlineLvl w:val="0"/>
    </w:pPr>
    <w:rPr>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43969"/>
    <w:rPr>
      <w:rFonts w:eastAsia="Times New Roman" w:cs="Times New Roman"/>
      <w:b/>
      <w:bCs/>
      <w:sz w:val="24"/>
      <w:szCs w:val="28"/>
    </w:rPr>
  </w:style>
  <w:style w:type="paragraph" w:styleId="Ondertitel">
    <w:name w:val="Subtitle"/>
    <w:basedOn w:val="Standaard"/>
    <w:next w:val="Standaard"/>
    <w:link w:val="OndertitelChar"/>
    <w:qFormat/>
    <w:rsid w:val="00243969"/>
    <w:pPr>
      <w:numPr>
        <w:ilvl w:val="1"/>
      </w:numPr>
    </w:pPr>
    <w:rPr>
      <w:i/>
      <w:iCs w:val="0"/>
      <w:spacing w:val="15"/>
    </w:rPr>
  </w:style>
  <w:style w:type="character" w:customStyle="1" w:styleId="OndertitelChar">
    <w:name w:val="Ondertitel Char"/>
    <w:link w:val="Ondertitel"/>
    <w:rsid w:val="00243969"/>
    <w:rPr>
      <w:rFonts w:eastAsia="Times New Roman" w:cs="Times New Roman"/>
      <w:i/>
      <w:iCs w:val="0"/>
      <w:spacing w:val="15"/>
    </w:rPr>
  </w:style>
  <w:style w:type="table" w:styleId="Tabelraster">
    <w:name w:val="Table Grid"/>
    <w:basedOn w:val="Standaardtabel"/>
    <w:rsid w:val="00A0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41D28"/>
    <w:pPr>
      <w:tabs>
        <w:tab w:val="center" w:pos="4536"/>
        <w:tab w:val="right" w:pos="9072"/>
      </w:tabs>
    </w:pPr>
  </w:style>
  <w:style w:type="character" w:customStyle="1" w:styleId="KoptekstChar">
    <w:name w:val="Koptekst Char"/>
    <w:link w:val="Koptekst"/>
    <w:rsid w:val="00E41D28"/>
    <w:rPr>
      <w:iCs/>
      <w:szCs w:val="24"/>
    </w:rPr>
  </w:style>
  <w:style w:type="paragraph" w:styleId="Voettekst">
    <w:name w:val="footer"/>
    <w:basedOn w:val="Standaard"/>
    <w:link w:val="VoettekstChar"/>
    <w:uiPriority w:val="99"/>
    <w:rsid w:val="00E41D28"/>
    <w:pPr>
      <w:tabs>
        <w:tab w:val="center" w:pos="4536"/>
        <w:tab w:val="right" w:pos="9072"/>
      </w:tabs>
    </w:pPr>
  </w:style>
  <w:style w:type="character" w:customStyle="1" w:styleId="VoettekstChar">
    <w:name w:val="Voettekst Char"/>
    <w:link w:val="Voettekst"/>
    <w:uiPriority w:val="99"/>
    <w:rsid w:val="00E41D28"/>
    <w:rPr>
      <w:iCs/>
      <w:szCs w:val="24"/>
    </w:rPr>
  </w:style>
  <w:style w:type="paragraph" w:styleId="Lijstalinea">
    <w:name w:val="List Paragraph"/>
    <w:basedOn w:val="Standaard"/>
    <w:uiPriority w:val="34"/>
    <w:qFormat/>
    <w:rsid w:val="00961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3969"/>
    <w:pPr>
      <w:spacing w:line="312" w:lineRule="auto"/>
    </w:pPr>
    <w:rPr>
      <w:iCs/>
      <w:szCs w:val="24"/>
    </w:rPr>
  </w:style>
  <w:style w:type="paragraph" w:styleId="Kop1">
    <w:name w:val="heading 1"/>
    <w:basedOn w:val="Standaard"/>
    <w:next w:val="Standaard"/>
    <w:link w:val="Kop1Char"/>
    <w:qFormat/>
    <w:rsid w:val="00243969"/>
    <w:pPr>
      <w:keepNext/>
      <w:keepLines/>
      <w:spacing w:before="120" w:after="120"/>
      <w:outlineLvl w:val="0"/>
    </w:pPr>
    <w:rPr>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43969"/>
    <w:rPr>
      <w:rFonts w:eastAsia="Times New Roman" w:cs="Times New Roman"/>
      <w:b/>
      <w:bCs/>
      <w:sz w:val="24"/>
      <w:szCs w:val="28"/>
    </w:rPr>
  </w:style>
  <w:style w:type="paragraph" w:styleId="Ondertitel">
    <w:name w:val="Subtitle"/>
    <w:basedOn w:val="Standaard"/>
    <w:next w:val="Standaard"/>
    <w:link w:val="OndertitelChar"/>
    <w:qFormat/>
    <w:rsid w:val="00243969"/>
    <w:pPr>
      <w:numPr>
        <w:ilvl w:val="1"/>
      </w:numPr>
    </w:pPr>
    <w:rPr>
      <w:i/>
      <w:iCs w:val="0"/>
      <w:spacing w:val="15"/>
    </w:rPr>
  </w:style>
  <w:style w:type="character" w:customStyle="1" w:styleId="OndertitelChar">
    <w:name w:val="Ondertitel Char"/>
    <w:link w:val="Ondertitel"/>
    <w:rsid w:val="00243969"/>
    <w:rPr>
      <w:rFonts w:eastAsia="Times New Roman" w:cs="Times New Roman"/>
      <w:i/>
      <w:iCs w:val="0"/>
      <w:spacing w:val="15"/>
    </w:rPr>
  </w:style>
  <w:style w:type="table" w:styleId="Tabelraster">
    <w:name w:val="Table Grid"/>
    <w:basedOn w:val="Standaardtabel"/>
    <w:rsid w:val="00A0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41D28"/>
    <w:pPr>
      <w:tabs>
        <w:tab w:val="center" w:pos="4536"/>
        <w:tab w:val="right" w:pos="9072"/>
      </w:tabs>
    </w:pPr>
  </w:style>
  <w:style w:type="character" w:customStyle="1" w:styleId="KoptekstChar">
    <w:name w:val="Koptekst Char"/>
    <w:link w:val="Koptekst"/>
    <w:rsid w:val="00E41D28"/>
    <w:rPr>
      <w:iCs/>
      <w:szCs w:val="24"/>
    </w:rPr>
  </w:style>
  <w:style w:type="paragraph" w:styleId="Voettekst">
    <w:name w:val="footer"/>
    <w:basedOn w:val="Standaard"/>
    <w:link w:val="VoettekstChar"/>
    <w:uiPriority w:val="99"/>
    <w:rsid w:val="00E41D28"/>
    <w:pPr>
      <w:tabs>
        <w:tab w:val="center" w:pos="4536"/>
        <w:tab w:val="right" w:pos="9072"/>
      </w:tabs>
    </w:pPr>
  </w:style>
  <w:style w:type="character" w:customStyle="1" w:styleId="VoettekstChar">
    <w:name w:val="Voettekst Char"/>
    <w:link w:val="Voettekst"/>
    <w:uiPriority w:val="99"/>
    <w:rsid w:val="00E41D28"/>
    <w:rPr>
      <w:iCs/>
      <w:szCs w:val="24"/>
    </w:rPr>
  </w:style>
  <w:style w:type="paragraph" w:styleId="Lijstalinea">
    <w:name w:val="List Paragraph"/>
    <w:basedOn w:val="Standaard"/>
    <w:uiPriority w:val="34"/>
    <w:qFormat/>
    <w:rsid w:val="0096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ng.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ng\hoofdmenu\Notiti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Notitie</Template>
  <TotalTime>0</TotalTime>
  <Pages>4</Pages>
  <Words>1536</Words>
  <Characters>8450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9967</CharactersWithSpaces>
  <SharedDoc>false</SharedDoc>
  <HLinks>
    <vt:vector size="6" baseType="variant">
      <vt:variant>
        <vt:i4>8061052</vt:i4>
      </vt:variant>
      <vt:variant>
        <vt:i4>0</vt:i4>
      </vt:variant>
      <vt:variant>
        <vt:i4>0</vt:i4>
      </vt:variant>
      <vt:variant>
        <vt:i4>5</vt:i4>
      </vt:variant>
      <vt:variant>
        <vt:lpwstr>http://www.vng.nl/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Jasja van Ark</dc:creator>
  <cp:lastModifiedBy>Jasja</cp:lastModifiedBy>
  <cp:revision>2</cp:revision>
  <cp:lastPrinted>2015-04-10T12:43:00Z</cp:lastPrinted>
  <dcterms:created xsi:type="dcterms:W3CDTF">2015-04-24T14:22:00Z</dcterms:created>
  <dcterms:modified xsi:type="dcterms:W3CDTF">2015-04-24T14:22:00Z</dcterms:modified>
</cp:coreProperties>
</file>